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3B3A" w14:textId="561BAC15" w:rsidR="001E4DDC" w:rsidRPr="00DC1B62" w:rsidRDefault="000C6691" w:rsidP="006F1638">
      <w:pPr>
        <w:jc w:val="center"/>
        <w:rPr>
          <w:b/>
          <w:bCs/>
          <w:u w:val="single"/>
        </w:rPr>
      </w:pPr>
      <w:r w:rsidRPr="6D534824">
        <w:rPr>
          <w:b/>
          <w:bCs/>
          <w:u w:val="single"/>
        </w:rPr>
        <w:t>U</w:t>
      </w:r>
      <w:r w:rsidR="00BB1AC1" w:rsidRPr="6D534824">
        <w:rPr>
          <w:b/>
          <w:bCs/>
          <w:u w:val="single"/>
        </w:rPr>
        <w:t xml:space="preserve">sing the Coronavirus State and Local </w:t>
      </w:r>
      <w:r w:rsidR="00D422A3" w:rsidRPr="6D534824">
        <w:rPr>
          <w:b/>
          <w:bCs/>
          <w:u w:val="single"/>
        </w:rPr>
        <w:t>Fiscal Recovery Funds Model Addendum</w:t>
      </w:r>
      <w:r w:rsidR="00BB1AC1" w:rsidRPr="6D534824">
        <w:rPr>
          <w:b/>
          <w:bCs/>
          <w:u w:val="single"/>
        </w:rPr>
        <w:t xml:space="preserve">: </w:t>
      </w:r>
    </w:p>
    <w:p w14:paraId="7C2FA81C" w14:textId="7409EB99" w:rsidR="00D422A3" w:rsidRPr="00DC1B62" w:rsidRDefault="00EF5CD5" w:rsidP="006F1638">
      <w:pPr>
        <w:jc w:val="center"/>
        <w:rPr>
          <w:b/>
          <w:bCs/>
          <w:u w:val="single"/>
        </w:rPr>
      </w:pPr>
      <w:r w:rsidRPr="6D534824">
        <w:rPr>
          <w:b/>
          <w:bCs/>
          <w:u w:val="single"/>
        </w:rPr>
        <w:t>Purpose</w:t>
      </w:r>
      <w:r w:rsidR="001E4DDC" w:rsidRPr="6D534824">
        <w:rPr>
          <w:b/>
          <w:bCs/>
          <w:u w:val="single"/>
        </w:rPr>
        <w:t>,</w:t>
      </w:r>
      <w:r w:rsidR="00EE098C" w:rsidRPr="6D534824">
        <w:rPr>
          <w:b/>
          <w:bCs/>
          <w:u w:val="single"/>
        </w:rPr>
        <w:t xml:space="preserve"> Usage,</w:t>
      </w:r>
      <w:r w:rsidR="001E4DDC" w:rsidRPr="6D534824">
        <w:rPr>
          <w:b/>
          <w:bCs/>
          <w:u w:val="single"/>
        </w:rPr>
        <w:t xml:space="preserve"> </w:t>
      </w:r>
      <w:r w:rsidR="00BB1AC1" w:rsidRPr="6D534824">
        <w:rPr>
          <w:b/>
          <w:bCs/>
          <w:u w:val="single"/>
        </w:rPr>
        <w:t>Questions and Answers</w:t>
      </w:r>
    </w:p>
    <w:p w14:paraId="610A43FB" w14:textId="71220E39" w:rsidR="00BB1AC1" w:rsidRPr="00DC1B62" w:rsidRDefault="00EF5CD5" w:rsidP="00D422A3">
      <w:pPr>
        <w:rPr>
          <w:b/>
          <w:bCs/>
          <w:i/>
          <w:iCs/>
        </w:rPr>
      </w:pPr>
      <w:r w:rsidRPr="00DC1B62">
        <w:rPr>
          <w:b/>
          <w:bCs/>
          <w:i/>
          <w:iCs/>
        </w:rPr>
        <w:t>Purpose</w:t>
      </w:r>
      <w:r w:rsidR="00EE098C">
        <w:rPr>
          <w:b/>
          <w:bCs/>
          <w:i/>
          <w:iCs/>
        </w:rPr>
        <w:t xml:space="preserve"> of the Model Addendum</w:t>
      </w:r>
    </w:p>
    <w:p w14:paraId="4018A130" w14:textId="0C661AAE" w:rsidR="008F28A5" w:rsidRDefault="004E55A5" w:rsidP="003E3606">
      <w:pPr>
        <w:ind w:firstLine="720"/>
        <w:jc w:val="both"/>
      </w:pPr>
      <w:r>
        <w:t xml:space="preserve">This </w:t>
      </w:r>
      <w:r w:rsidR="00757A82">
        <w:t>Model Addendum</w:t>
      </w:r>
      <w:r w:rsidR="000751A9">
        <w:t xml:space="preserve"> (“</w:t>
      </w:r>
      <w:r w:rsidR="000751A9" w:rsidRPr="00D93209">
        <w:rPr>
          <w:i/>
          <w:iCs/>
        </w:rPr>
        <w:t>Addendum</w:t>
      </w:r>
      <w:r w:rsidR="000751A9">
        <w:t>”)</w:t>
      </w:r>
      <w:r w:rsidR="008F28A5">
        <w:t xml:space="preserve"> </w:t>
      </w:r>
      <w:r w:rsidR="00757A82">
        <w:t>is intended for</w:t>
      </w:r>
      <w:r w:rsidR="001E4DDC">
        <w:t xml:space="preserve"> use by</w:t>
      </w:r>
      <w:r w:rsidR="00757A82">
        <w:t xml:space="preserve"> units of local government in North Carolina that have received </w:t>
      </w:r>
      <w:r w:rsidR="008414D1">
        <w:t>payments</w:t>
      </w:r>
      <w:r w:rsidR="00757A82">
        <w:t xml:space="preserve"> from the </w:t>
      </w:r>
      <w:r w:rsidR="001E4DDC">
        <w:t>Coronavirus State Fiscal Recovery Fund (“</w:t>
      </w:r>
      <w:r w:rsidR="001E4DDC" w:rsidRPr="00280FC4">
        <w:rPr>
          <w:i/>
          <w:iCs/>
        </w:rPr>
        <w:t>State Fiscal Recovery Fund</w:t>
      </w:r>
      <w:r w:rsidR="001E4DDC">
        <w:t>”) or Coronavirus Local Fiscal Recovery Fund (“</w:t>
      </w:r>
      <w:r w:rsidR="001E4DDC" w:rsidRPr="00280FC4">
        <w:rPr>
          <w:i/>
          <w:iCs/>
        </w:rPr>
        <w:t>Local Fiscal Recovery Fun</w:t>
      </w:r>
      <w:r w:rsidR="001E4DDC">
        <w:rPr>
          <w:i/>
          <w:iCs/>
        </w:rPr>
        <w:t>d</w:t>
      </w:r>
      <w:r w:rsidR="001E4DDC">
        <w:t>” and, together with the State Fiscal Recovery Fund, the “</w:t>
      </w:r>
      <w:r w:rsidR="001E4DDC" w:rsidRPr="00280FC4">
        <w:rPr>
          <w:i/>
          <w:iCs/>
        </w:rPr>
        <w:t>Fiscal Recovery Fun</w:t>
      </w:r>
      <w:r w:rsidR="001E4DDC">
        <w:rPr>
          <w:i/>
          <w:iCs/>
        </w:rPr>
        <w:t>ds</w:t>
      </w:r>
      <w:r w:rsidR="001E4DDC">
        <w:t xml:space="preserve">”) established </w:t>
      </w:r>
      <w:r w:rsidR="00E90D9B">
        <w:t>under</w:t>
      </w:r>
      <w:r w:rsidR="001E4DDC">
        <w:t xml:space="preserve"> Sections 602 and 603, respectively, of the Social Security Act, as added by Section 9901 of the American Rescue Plan Act of 2021, Pub. L. No. 117-2 (“</w:t>
      </w:r>
      <w:r w:rsidR="001E4DDC">
        <w:rPr>
          <w:i/>
          <w:iCs/>
        </w:rPr>
        <w:t>ARPA</w:t>
      </w:r>
      <w:r w:rsidR="001E4DDC">
        <w:t>”)</w:t>
      </w:r>
      <w:r w:rsidR="006316E4">
        <w:t xml:space="preserve">.  </w:t>
      </w:r>
    </w:p>
    <w:p w14:paraId="3DB2919A" w14:textId="14158AB5" w:rsidR="00CB10F2" w:rsidRDefault="006316E4" w:rsidP="001E06EE">
      <w:pPr>
        <w:jc w:val="both"/>
      </w:pPr>
      <w:r>
        <w:tab/>
        <w:t>The U.S. Department of the Treasury (“</w:t>
      </w:r>
      <w:r w:rsidRPr="2CC022A3">
        <w:rPr>
          <w:i/>
          <w:iCs/>
        </w:rPr>
        <w:t>Treasury</w:t>
      </w:r>
      <w:r>
        <w:t xml:space="preserve">”) has stated in its Interim Final Rule, recently released Final Rule, and Compliance and Reporting Guidance that, with few exceptions, the procurement </w:t>
      </w:r>
      <w:r w:rsidR="001E06EE">
        <w:t>standards</w:t>
      </w:r>
      <w:r>
        <w:t xml:space="preserve"> contained in the Uniform Administrative Requirements, Cost Principles, and Audit Requirements for Federal Awards (</w:t>
      </w:r>
      <w:hyperlink r:id="rId11" w:history="1">
        <w:r w:rsidRPr="00424791">
          <w:rPr>
            <w:rStyle w:val="Hyperlink"/>
          </w:rPr>
          <w:t>2 C.F.R. Part 200</w:t>
        </w:r>
      </w:hyperlink>
      <w:r>
        <w:t>) (the “</w:t>
      </w:r>
      <w:r w:rsidRPr="2CC022A3">
        <w:rPr>
          <w:i/>
          <w:iCs/>
        </w:rPr>
        <w:t>Uniform Guidance</w:t>
      </w:r>
      <w:r>
        <w:t>”) apply when a recipient or subrecipient of Fiscal Recovery Funds uses these monies to purchase goods or services.</w:t>
      </w:r>
      <w:r w:rsidR="008F09F1">
        <w:rPr>
          <w:rStyle w:val="FootnoteReference"/>
        </w:rPr>
        <w:footnoteReference w:id="2"/>
      </w:r>
      <w:r w:rsidR="001E06EE">
        <w:t xml:space="preserve">  A</w:t>
      </w:r>
      <w:r w:rsidR="008F09F1">
        <w:t>mong other things</w:t>
      </w:r>
      <w:r w:rsidR="001E06EE">
        <w:t>, the</w:t>
      </w:r>
      <w:r w:rsidR="00530695">
        <w:t xml:space="preserve"> procurement standards</w:t>
      </w:r>
      <w:r w:rsidR="00F16514">
        <w:t xml:space="preserve"> </w:t>
      </w:r>
      <w:r w:rsidR="00C44287">
        <w:t xml:space="preserve">in the Uniform Guidance </w:t>
      </w:r>
      <w:r w:rsidR="00F16514">
        <w:t>(</w:t>
      </w:r>
      <w:hyperlink r:id="rId12" w:history="1">
        <w:r w:rsidR="00F16514" w:rsidRPr="000A1A37">
          <w:rPr>
            <w:rStyle w:val="Hyperlink"/>
          </w:rPr>
          <w:t xml:space="preserve">2 C.F.R. §§ 200.317– </w:t>
        </w:r>
        <w:r w:rsidR="00D77793" w:rsidRPr="000A1A37">
          <w:rPr>
            <w:rStyle w:val="Hyperlink"/>
          </w:rPr>
          <w:t>2</w:t>
        </w:r>
        <w:r w:rsidR="00F16514" w:rsidRPr="000A1A37">
          <w:rPr>
            <w:rStyle w:val="Hyperlink"/>
          </w:rPr>
          <w:t>00.327</w:t>
        </w:r>
      </w:hyperlink>
      <w:r w:rsidR="00F16514">
        <w:t>)</w:t>
      </w:r>
      <w:r w:rsidR="00657A7F">
        <w:t xml:space="preserve"> require</w:t>
      </w:r>
      <w:r>
        <w:t xml:space="preserve"> recipients and subrecipients to include certain clauses </w:t>
      </w:r>
      <w:r w:rsidR="00F34252">
        <w:t xml:space="preserve">in </w:t>
      </w:r>
      <w:r w:rsidR="00D22D20">
        <w:t>Fiscal Recovery Fund supported</w:t>
      </w:r>
      <w:r w:rsidR="00E72933">
        <w:t xml:space="preserve"> </w:t>
      </w:r>
      <w:r>
        <w:t>contract</w:t>
      </w:r>
      <w:r w:rsidR="00E72933">
        <w:t>s</w:t>
      </w:r>
      <w:r>
        <w:t xml:space="preserve"> to purchase goods or services.</w:t>
      </w:r>
      <w:r w:rsidR="001E06EE">
        <w:rPr>
          <w:rStyle w:val="FootnoteReference"/>
        </w:rPr>
        <w:footnoteReference w:id="3"/>
      </w:r>
      <w:r w:rsidR="00485018">
        <w:t xml:space="preserve">  </w:t>
      </w:r>
      <w:r w:rsidR="000E6E77">
        <w:t xml:space="preserve">Separately, </w:t>
      </w:r>
      <w:r w:rsidR="00A8017C">
        <w:t>the</w:t>
      </w:r>
      <w:r w:rsidR="000E6E77">
        <w:t xml:space="preserve"> </w:t>
      </w:r>
      <w:r w:rsidR="00D22D20">
        <w:t xml:space="preserve">Local Fiscal Recovery Fund </w:t>
      </w:r>
      <w:r w:rsidR="00485018">
        <w:t>Award Terms and Conditions</w:t>
      </w:r>
      <w:r w:rsidR="000E6E77">
        <w:t xml:space="preserve"> </w:t>
      </w:r>
      <w:r w:rsidR="00CB10F2">
        <w:t>executed by each</w:t>
      </w:r>
      <w:r w:rsidR="00884C37">
        <w:t xml:space="preserve"> </w:t>
      </w:r>
      <w:r w:rsidR="00391BDD">
        <w:t xml:space="preserve">recipient </w:t>
      </w:r>
      <w:r w:rsidR="00884C37">
        <w:t xml:space="preserve">unit of local government </w:t>
      </w:r>
      <w:r w:rsidR="003673F7">
        <w:t xml:space="preserve">also </w:t>
      </w:r>
      <w:r w:rsidR="00884C37">
        <w:t xml:space="preserve">require </w:t>
      </w:r>
      <w:r w:rsidR="003673F7">
        <w:t>the inclusion</w:t>
      </w:r>
      <w:r w:rsidR="000E6E77">
        <w:t xml:space="preserve"> </w:t>
      </w:r>
      <w:r w:rsidR="003673F7">
        <w:t xml:space="preserve">of certain clauses </w:t>
      </w:r>
      <w:r w:rsidR="00D27657">
        <w:t>in these contracts</w:t>
      </w:r>
      <w:r w:rsidR="003673F7">
        <w:t>.</w:t>
      </w:r>
      <w:r w:rsidR="00A8017C">
        <w:rPr>
          <w:rStyle w:val="FootnoteReference"/>
        </w:rPr>
        <w:footnoteReference w:id="4"/>
      </w:r>
      <w:r w:rsidR="00F16514">
        <w:t xml:space="preserve">  </w:t>
      </w:r>
    </w:p>
    <w:p w14:paraId="3753DFCC" w14:textId="358628DC" w:rsidR="003D22E9" w:rsidRPr="0051693C" w:rsidRDefault="00F16514" w:rsidP="003D22E9">
      <w:pPr>
        <w:ind w:firstLine="720"/>
        <w:jc w:val="both"/>
      </w:pPr>
      <w:r>
        <w:t xml:space="preserve">This Addendum </w:t>
      </w:r>
      <w:r w:rsidR="00D27657">
        <w:t>addresses</w:t>
      </w:r>
      <w:r w:rsidR="006E040D">
        <w:t xml:space="preserve"> </w:t>
      </w:r>
      <w:r w:rsidR="00CB10F2">
        <w:t>(1)</w:t>
      </w:r>
      <w:r w:rsidR="00D27657">
        <w:t xml:space="preserve"> contract</w:t>
      </w:r>
      <w:r w:rsidR="00CB10F2">
        <w:t xml:space="preserve"> clauses required by the procurement standards in the Uniform Guidance, (2) </w:t>
      </w:r>
      <w:r w:rsidR="00D27657">
        <w:t xml:space="preserve">contract </w:t>
      </w:r>
      <w:r w:rsidR="00CB10F2">
        <w:t>clauses required by the Local Fiscal Recovery Fund Award Terms and Conditions, and (3) recommended</w:t>
      </w:r>
      <w:r w:rsidR="00641F3D">
        <w:t xml:space="preserve"> </w:t>
      </w:r>
      <w:r w:rsidR="00D27657">
        <w:t xml:space="preserve">contract </w:t>
      </w:r>
      <w:r w:rsidR="00CB10F2">
        <w:t>clauses that may assist a unit in satisfying statutory and regulatory requirements applicable to the expenditure of Fiscal Recovery Funds.</w:t>
      </w:r>
      <w:r w:rsidR="008C5BBE">
        <w:t xml:space="preserve">  </w:t>
      </w:r>
      <w:r w:rsidR="003D22E9">
        <w:t>A unit should use this Addendum in consultation with legal counsel, as both interpretations of these requirements and a particular unit’s views on proper risk allocation or contract drafting may differ.</w:t>
      </w:r>
    </w:p>
    <w:p w14:paraId="2E162FF8" w14:textId="2F6B9281" w:rsidR="00673AEE" w:rsidRPr="00A36BCE" w:rsidRDefault="00557816" w:rsidP="00673AEE">
      <w:pPr>
        <w:ind w:firstLine="720"/>
        <w:jc w:val="both"/>
        <w:rPr>
          <w:b/>
          <w:bCs/>
          <w:u w:val="single"/>
        </w:rPr>
      </w:pPr>
      <w:r>
        <w:t xml:space="preserve">The Addendum assumes (1) a unit of local government is a “recipient” or a “subrecipient” of monies from the Fiscal Recovery Funds, (2) the unit is using these funds to pay for the cost of a good or service to carry out an eligible use under ARPA, and (3) the unit and a contractor have entered into a </w:t>
      </w:r>
      <w:r>
        <w:lastRenderedPageBreak/>
        <w:t xml:space="preserve">separate written agreement </w:t>
      </w:r>
      <w:r w:rsidR="000751A9">
        <w:t>that governs</w:t>
      </w:r>
      <w:r>
        <w:t xml:space="preserve"> the terms of payment and delivery</w:t>
      </w:r>
      <w:r w:rsidR="00BF2D60">
        <w:t xml:space="preserve"> of the goods or services</w:t>
      </w:r>
      <w:r>
        <w:t>.</w:t>
      </w:r>
      <w:r w:rsidR="00BD0641">
        <w:rPr>
          <w:rStyle w:val="FootnoteReference"/>
        </w:rPr>
        <w:footnoteReference w:id="5"/>
      </w:r>
      <w:r>
        <w:t xml:space="preserve">  </w:t>
      </w:r>
      <w:r w:rsidRPr="00A36BCE">
        <w:rPr>
          <w:b/>
          <w:bCs/>
          <w:u w:val="single"/>
        </w:rPr>
        <w:t>The Addendum does not include any clauses that may be required under North Carolina law</w:t>
      </w:r>
      <w:r w:rsidRPr="00A36BCE">
        <w:t>.</w:t>
      </w:r>
      <w:r w:rsidR="00BF2D60" w:rsidRPr="00A36BCE">
        <w:rPr>
          <w:b/>
          <w:bCs/>
          <w:u w:val="single"/>
        </w:rPr>
        <w:t xml:space="preserve">  </w:t>
      </w:r>
    </w:p>
    <w:p w14:paraId="07365C37" w14:textId="7B6C410A" w:rsidR="000C6691" w:rsidRPr="00DC1B62" w:rsidRDefault="000C6691" w:rsidP="001E4DDC">
      <w:pPr>
        <w:jc w:val="both"/>
        <w:rPr>
          <w:b/>
          <w:bCs/>
          <w:i/>
          <w:iCs/>
        </w:rPr>
      </w:pPr>
      <w:r w:rsidRPr="00DC1B62">
        <w:rPr>
          <w:b/>
          <w:bCs/>
          <w:i/>
          <w:iCs/>
        </w:rPr>
        <w:t>Questions and Answers</w:t>
      </w:r>
    </w:p>
    <w:p w14:paraId="27FFF7E4" w14:textId="181A0F4A" w:rsidR="0051693C" w:rsidRPr="0051693C" w:rsidRDefault="00EE098C" w:rsidP="00EE098C">
      <w:pPr>
        <w:jc w:val="both"/>
      </w:pPr>
      <w:r>
        <w:tab/>
        <w:t xml:space="preserve">This section </w:t>
      </w:r>
      <w:r w:rsidR="006040D4">
        <w:t>answers</w:t>
      </w:r>
      <w:r w:rsidR="00AB7F82">
        <w:t xml:space="preserve"> several questions that the</w:t>
      </w:r>
      <w:r w:rsidR="006040D4">
        <w:t xml:space="preserve"> users</w:t>
      </w:r>
      <w:r w:rsidR="00AB7F82">
        <w:t xml:space="preserve"> </w:t>
      </w:r>
      <w:r w:rsidR="006040D4">
        <w:t>of the Addendum may have.</w:t>
      </w:r>
    </w:p>
    <w:p w14:paraId="2A94C604" w14:textId="408C5BCA" w:rsidR="00BB1AC1" w:rsidRPr="00DC1B62" w:rsidRDefault="00BF12E4" w:rsidP="001D31A5">
      <w:pPr>
        <w:ind w:firstLine="720"/>
        <w:jc w:val="both"/>
        <w:rPr>
          <w:u w:val="single"/>
        </w:rPr>
      </w:pPr>
      <w:r w:rsidRPr="00DC1B62">
        <w:rPr>
          <w:i/>
          <w:iCs/>
          <w:u w:val="single"/>
        </w:rPr>
        <w:t>Question</w:t>
      </w:r>
      <w:r w:rsidR="006040D4">
        <w:rPr>
          <w:i/>
          <w:iCs/>
          <w:u w:val="single"/>
        </w:rPr>
        <w:t xml:space="preserve"> #1</w:t>
      </w:r>
      <w:r w:rsidRPr="002B7007">
        <w:t>:</w:t>
      </w:r>
      <w:r w:rsidRPr="00DC1B62">
        <w:rPr>
          <w:i/>
          <w:iCs/>
        </w:rPr>
        <w:t xml:space="preserve">  </w:t>
      </w:r>
      <w:r w:rsidR="001939FA">
        <w:t>Should</w:t>
      </w:r>
      <w:r w:rsidRPr="00DC1B62">
        <w:t xml:space="preserve"> a unit use this Addendum </w:t>
      </w:r>
      <w:r w:rsidR="001D31A5">
        <w:t>as a subaward</w:t>
      </w:r>
      <w:r w:rsidR="000A169E">
        <w:t xml:space="preserve"> agreement</w:t>
      </w:r>
      <w:r w:rsidR="001D31A5">
        <w:t xml:space="preserve"> </w:t>
      </w:r>
      <w:r w:rsidR="001939FA">
        <w:t xml:space="preserve">to </w:t>
      </w:r>
      <w:r w:rsidR="000173BA">
        <w:t>govern</w:t>
      </w:r>
      <w:r w:rsidR="0065411E" w:rsidRPr="00DC1B62">
        <w:t xml:space="preserve"> a transfer of Fiscal Recovery Funds to a subrecipient?</w:t>
      </w:r>
    </w:p>
    <w:p w14:paraId="317F986B" w14:textId="112468A9" w:rsidR="00885E45" w:rsidRDefault="0065411E" w:rsidP="006A5005">
      <w:pPr>
        <w:ind w:firstLine="720"/>
        <w:jc w:val="both"/>
      </w:pPr>
      <w:r w:rsidRPr="001D31A5">
        <w:rPr>
          <w:u w:val="single"/>
        </w:rPr>
        <w:t>Answer</w:t>
      </w:r>
      <w:r w:rsidRPr="00DC1B62">
        <w:t xml:space="preserve">:  </w:t>
      </w:r>
      <w:r w:rsidR="000C6691" w:rsidRPr="006E040D">
        <w:t>No</w:t>
      </w:r>
      <w:r w:rsidR="000C6691" w:rsidRPr="00DC1B62">
        <w:t>.</w:t>
      </w:r>
    </w:p>
    <w:p w14:paraId="23432E05" w14:textId="3995CAE9" w:rsidR="00577958" w:rsidRDefault="006A5005" w:rsidP="002F6620">
      <w:pPr>
        <w:ind w:firstLine="720"/>
        <w:jc w:val="both"/>
      </w:pPr>
      <w:r>
        <w:t xml:space="preserve">Recipients of Fiscal Recovery Funds may </w:t>
      </w:r>
      <w:r w:rsidR="006E2EB8">
        <w:t>“</w:t>
      </w:r>
      <w:r>
        <w:t>transfer</w:t>
      </w:r>
      <w:r w:rsidR="006E2EB8">
        <w:t>”</w:t>
      </w:r>
      <w:r>
        <w:t xml:space="preserve"> </w:t>
      </w:r>
      <w:r w:rsidR="00AF5193">
        <w:t>these</w:t>
      </w:r>
      <w:r>
        <w:t xml:space="preserve"> funds to other governmental or nonprofit organizations where both ARPA and North Carolina law authorize a transfer.</w:t>
      </w:r>
      <w:r>
        <w:rPr>
          <w:rStyle w:val="FootnoteReference"/>
        </w:rPr>
        <w:footnoteReference w:id="6"/>
      </w:r>
      <w:r>
        <w:t xml:space="preserve">  </w:t>
      </w:r>
      <w:r w:rsidR="00CE07B9">
        <w:t>U</w:t>
      </w:r>
      <w:r>
        <w:t xml:space="preserve">nder ARPA and applicable federal grant regulations, the transferee of </w:t>
      </w:r>
      <w:r w:rsidR="00885E45">
        <w:t>these</w:t>
      </w:r>
      <w:r>
        <w:t xml:space="preserve"> funds will be a “subrecipient”</w:t>
      </w:r>
      <w:r w:rsidR="002F6620">
        <w:t xml:space="preserve"> that has received a “subaward”</w:t>
      </w:r>
      <w:r w:rsidR="00932466">
        <w:t xml:space="preserve">—and a recipient must </w:t>
      </w:r>
      <w:proofErr w:type="gramStart"/>
      <w:r w:rsidR="00932466">
        <w:t>enter into</w:t>
      </w:r>
      <w:proofErr w:type="gramEnd"/>
      <w:r w:rsidR="00932466">
        <w:t xml:space="preserve"> a subaward agreement with</w:t>
      </w:r>
      <w:r w:rsidR="00F65DA5">
        <w:t xml:space="preserve"> </w:t>
      </w:r>
      <w:r w:rsidR="00577958">
        <w:t xml:space="preserve">that </w:t>
      </w:r>
      <w:r w:rsidR="00F65DA5">
        <w:t>subrecipient</w:t>
      </w:r>
      <w:r w:rsidR="005A4F70">
        <w:t xml:space="preserve"> to govern the transaction.</w:t>
      </w:r>
    </w:p>
    <w:p w14:paraId="454605BF" w14:textId="78F08F93" w:rsidR="002F6620" w:rsidRPr="00DC1B62" w:rsidRDefault="00932466" w:rsidP="002F6620">
      <w:pPr>
        <w:ind w:firstLine="720"/>
        <w:jc w:val="both"/>
      </w:pPr>
      <w:r>
        <w:t>Un</w:t>
      </w:r>
      <w:r w:rsidR="008336FE">
        <w:t>der</w:t>
      </w:r>
      <w:r w:rsidR="002F6620">
        <w:t xml:space="preserve"> the Uniform Guidance</w:t>
      </w:r>
      <w:r w:rsidR="00CE07B9">
        <w:t>, a</w:t>
      </w:r>
      <w:r w:rsidR="002F6620">
        <w:t xml:space="preserve"> </w:t>
      </w:r>
      <w:r w:rsidR="00F65DA5">
        <w:t>“</w:t>
      </w:r>
      <w:r w:rsidR="005C5697">
        <w:t>contract</w:t>
      </w:r>
      <w:r w:rsidR="00F65DA5">
        <w:t>”</w:t>
      </w:r>
      <w:r w:rsidR="0057148D">
        <w:t xml:space="preserve"> </w:t>
      </w:r>
      <w:r w:rsidR="002F6620">
        <w:t>is distinct from a “</w:t>
      </w:r>
      <w:r w:rsidR="005C5697">
        <w:t>subaward</w:t>
      </w:r>
      <w:r w:rsidR="008336FE">
        <w:t>”.</w:t>
      </w:r>
      <w:r w:rsidR="008336FE">
        <w:rPr>
          <w:rStyle w:val="FootnoteReference"/>
        </w:rPr>
        <w:footnoteReference w:id="7"/>
      </w:r>
      <w:r w:rsidR="008336FE">
        <w:t xml:space="preserve">  T</w:t>
      </w:r>
      <w:r w:rsidR="002F6620">
        <w:t xml:space="preserve">he Addendum </w:t>
      </w:r>
      <w:r w:rsidR="005A4F70">
        <w:t xml:space="preserve">only </w:t>
      </w:r>
      <w:r w:rsidR="002F6620">
        <w:t xml:space="preserve">addresses required provisions for the </w:t>
      </w:r>
      <w:r w:rsidR="005C5697">
        <w:t>former</w:t>
      </w:r>
      <w:r w:rsidR="002F6620">
        <w:t xml:space="preserve"> type of agreement, not the </w:t>
      </w:r>
      <w:r w:rsidR="005C5697">
        <w:t>latter</w:t>
      </w:r>
      <w:r w:rsidR="002F6620">
        <w:t>.</w:t>
      </w:r>
      <w:r w:rsidR="00F65DA5">
        <w:rPr>
          <w:rStyle w:val="FootnoteReference"/>
        </w:rPr>
        <w:footnoteReference w:id="8"/>
      </w:r>
    </w:p>
    <w:p w14:paraId="369BF265" w14:textId="65B55D2D" w:rsidR="00D422A3" w:rsidRPr="00DC1B62" w:rsidRDefault="00D422A3" w:rsidP="00831063">
      <w:pPr>
        <w:ind w:firstLine="720"/>
        <w:rPr>
          <w:u w:val="single"/>
        </w:rPr>
      </w:pPr>
      <w:r w:rsidRPr="00DC1B62">
        <w:rPr>
          <w:i/>
          <w:iCs/>
          <w:u w:val="single"/>
        </w:rPr>
        <w:t>Question</w:t>
      </w:r>
      <w:r w:rsidR="006040D4">
        <w:rPr>
          <w:i/>
          <w:iCs/>
          <w:u w:val="single"/>
        </w:rPr>
        <w:t xml:space="preserve"> #2</w:t>
      </w:r>
      <w:r w:rsidRPr="002B7007">
        <w:t>:</w:t>
      </w:r>
      <w:r w:rsidRPr="00DC1B62">
        <w:t xml:space="preserve">  </w:t>
      </w:r>
      <w:r w:rsidR="00AE418C" w:rsidRPr="00DC1B62">
        <w:t>Should our unit modify the</w:t>
      </w:r>
      <w:r w:rsidRPr="00DC1B62">
        <w:t xml:space="preserve"> Addendum</w:t>
      </w:r>
      <w:r w:rsidR="00A8017C">
        <w:t xml:space="preserve"> prior to use</w:t>
      </w:r>
      <w:r w:rsidRPr="00DC1B62">
        <w:t>?</w:t>
      </w:r>
    </w:p>
    <w:p w14:paraId="233CFB34" w14:textId="77777777" w:rsidR="00632892" w:rsidRDefault="00AE418C" w:rsidP="00632892">
      <w:pPr>
        <w:ind w:firstLine="720"/>
        <w:jc w:val="both"/>
      </w:pPr>
      <w:r w:rsidRPr="00DC1B62">
        <w:rPr>
          <w:u w:val="single"/>
        </w:rPr>
        <w:t>Answer</w:t>
      </w:r>
      <w:r w:rsidRPr="00DC1B62">
        <w:t xml:space="preserve">:  </w:t>
      </w:r>
      <w:r w:rsidR="000C6691" w:rsidRPr="00DC1B62">
        <w:t>Yes.</w:t>
      </w:r>
      <w:r w:rsidR="004C6844">
        <w:t xml:space="preserve">  </w:t>
      </w:r>
    </w:p>
    <w:p w14:paraId="0475FB01" w14:textId="555A2DC3" w:rsidR="00D422A3" w:rsidRPr="00DC1B62" w:rsidRDefault="00F65DA5" w:rsidP="00632892">
      <w:pPr>
        <w:ind w:firstLine="720"/>
        <w:jc w:val="both"/>
      </w:pPr>
      <w:r>
        <w:t>The Addendum contains footnotes (each labeled “</w:t>
      </w:r>
      <w:r w:rsidRPr="00302D31">
        <w:rPr>
          <w:i/>
          <w:iCs/>
        </w:rPr>
        <w:t>Note to Draft</w:t>
      </w:r>
      <w:r>
        <w:t xml:space="preserve">”) </w:t>
      </w:r>
      <w:r w:rsidR="00F71F1C">
        <w:t>that</w:t>
      </w:r>
      <w:r>
        <w:t xml:space="preserve"> explain why </w:t>
      </w:r>
      <w:r w:rsidR="00632892">
        <w:t xml:space="preserve">the Addendum contains specific clauses.  Units should review </w:t>
      </w:r>
      <w:r w:rsidR="00C846D6">
        <w:t xml:space="preserve">and remove </w:t>
      </w:r>
      <w:r w:rsidR="00632892">
        <w:t>these explanatory footnotes in consultation with legal counsel when finalizing an addendum for a particular contract</w:t>
      </w:r>
      <w:r w:rsidR="00D049FD">
        <w:t xml:space="preserve"> supported by Fiscal Recovery Funds.</w:t>
      </w:r>
    </w:p>
    <w:p w14:paraId="4626D23D" w14:textId="345E1598" w:rsidR="00AE418C" w:rsidRPr="00DC1B62" w:rsidRDefault="008D20F0" w:rsidP="00EE639E">
      <w:pPr>
        <w:ind w:firstLine="720"/>
        <w:jc w:val="both"/>
      </w:pPr>
      <w:r w:rsidRPr="008E5F83">
        <w:rPr>
          <w:i/>
          <w:iCs/>
          <w:u w:val="single"/>
        </w:rPr>
        <w:t>Question</w:t>
      </w:r>
      <w:r w:rsidRPr="008E5F83">
        <w:rPr>
          <w:u w:val="single"/>
        </w:rPr>
        <w:t>:</w:t>
      </w:r>
      <w:r w:rsidR="006040D4" w:rsidRPr="008E5F83">
        <w:rPr>
          <w:u w:val="single"/>
        </w:rPr>
        <w:t xml:space="preserve"> #3</w:t>
      </w:r>
      <w:r w:rsidR="000271C7" w:rsidRPr="002B7007">
        <w:t>:</w:t>
      </w:r>
      <w:r w:rsidRPr="00DC1B62">
        <w:t xml:space="preserve"> Does the Addendum contain </w:t>
      </w:r>
      <w:r w:rsidR="004B0DC6" w:rsidRPr="00DC1B62">
        <w:t>all</w:t>
      </w:r>
      <w:r w:rsidRPr="00DC1B62">
        <w:t xml:space="preserve"> contract clauses </w:t>
      </w:r>
      <w:r w:rsidR="009C34D6">
        <w:t>described in</w:t>
      </w:r>
      <w:r w:rsidRPr="00DC1B62">
        <w:t xml:space="preserve"> 2 C.F.R. § 200.327 and Appendix II to 2 C.F.R. Part 200?</w:t>
      </w:r>
    </w:p>
    <w:p w14:paraId="24227FA5" w14:textId="349D9EBA" w:rsidR="006215BC" w:rsidRDefault="004B0DC6" w:rsidP="00F10EE6">
      <w:pPr>
        <w:ind w:firstLine="720"/>
        <w:jc w:val="both"/>
      </w:pPr>
      <w:r w:rsidRPr="00DC1B62">
        <w:rPr>
          <w:u w:val="single"/>
        </w:rPr>
        <w:t>Answer</w:t>
      </w:r>
      <w:r w:rsidRPr="00DC1B62">
        <w:t>:  Almost.</w:t>
      </w:r>
      <w:r w:rsidR="006508A1">
        <w:t xml:space="preserve">  The Addendum </w:t>
      </w:r>
      <w:r w:rsidR="003E2F83" w:rsidRPr="001F4FAF">
        <w:t xml:space="preserve">does </w:t>
      </w:r>
      <w:r w:rsidR="003E2F83" w:rsidRPr="001F4FAF">
        <w:rPr>
          <w:u w:val="single"/>
        </w:rPr>
        <w:t>not</w:t>
      </w:r>
      <w:r w:rsidR="003E2F83" w:rsidRPr="001F4FAF">
        <w:t xml:space="preserve"> contain: (1) a contract clause</w:t>
      </w:r>
      <w:r w:rsidR="00731976" w:rsidRPr="001F4FAF">
        <w:t xml:space="preserve"> addressing “administrative, contractual, or legal remedies in instances where contractors v</w:t>
      </w:r>
      <w:r w:rsidR="006215BC" w:rsidRPr="001F4FAF">
        <w:t xml:space="preserve">iolate or beach contract terms” (required </w:t>
      </w:r>
      <w:r w:rsidR="00CC3F47" w:rsidRPr="001F4FAF">
        <w:t xml:space="preserve">under Appendix II, § (A) for contracts exceeding </w:t>
      </w:r>
      <w:r w:rsidR="00D762AD">
        <w:t>the Simplified Acquisition Threshold</w:t>
      </w:r>
      <w:r w:rsidR="00CC3F47" w:rsidRPr="001F4FAF">
        <w:t>)</w:t>
      </w:r>
      <w:r w:rsidR="00E6238E" w:rsidRPr="001F4FAF">
        <w:t xml:space="preserve">; </w:t>
      </w:r>
      <w:r w:rsidR="00E6238E" w:rsidRPr="001F4FAF">
        <w:lastRenderedPageBreak/>
        <w:t>or (2)</w:t>
      </w:r>
      <w:r w:rsidR="003E2F83" w:rsidRPr="001F4FAF">
        <w:t xml:space="preserve"> </w:t>
      </w:r>
      <w:r w:rsidR="007E61FD" w:rsidRPr="001F4FAF">
        <w:t xml:space="preserve">a contract clause addressing </w:t>
      </w:r>
      <w:r w:rsidR="008C76E6" w:rsidRPr="001F4FAF">
        <w:t xml:space="preserve">“termination for cause and for convenience by the non-Federal </w:t>
      </w:r>
      <w:proofErr w:type="gramStart"/>
      <w:r w:rsidR="008C76E6" w:rsidRPr="001F4FAF">
        <w:t>entity[</w:t>
      </w:r>
      <w:proofErr w:type="gramEnd"/>
      <w:r w:rsidR="008C76E6" w:rsidRPr="001F4FAF">
        <w:t>,] including the manner by which it will be effected and the basis for settlement.”</w:t>
      </w:r>
      <w:r w:rsidR="00F71F1C">
        <w:t xml:space="preserve"> </w:t>
      </w:r>
    </w:p>
    <w:p w14:paraId="55971DB6" w14:textId="33EC2EBA" w:rsidR="004B0DC6" w:rsidRDefault="00CC3F47" w:rsidP="00F10EE6">
      <w:pPr>
        <w:ind w:firstLine="720"/>
        <w:jc w:val="both"/>
      </w:pPr>
      <w:r>
        <w:t>Each of these clauses will</w:t>
      </w:r>
      <w:r w:rsidR="00E6238E">
        <w:t xml:space="preserve"> differ based upon the type of contract</w:t>
      </w:r>
      <w:r w:rsidR="006215BC">
        <w:t xml:space="preserve"> involved</w:t>
      </w:r>
      <w:r w:rsidR="00816D96">
        <w:t xml:space="preserve"> and the</w:t>
      </w:r>
      <w:r w:rsidR="00F10EE6">
        <w:t xml:space="preserve"> </w:t>
      </w:r>
      <w:r w:rsidR="00816D96">
        <w:t>operating</w:t>
      </w:r>
      <w:r w:rsidR="00F10EE6">
        <w:t xml:space="preserve"> procedures </w:t>
      </w:r>
      <w:proofErr w:type="gramStart"/>
      <w:r w:rsidR="00F10EE6">
        <w:t xml:space="preserve">in </w:t>
      </w:r>
      <w:r w:rsidR="00816D96">
        <w:t>a given</w:t>
      </w:r>
      <w:proofErr w:type="gramEnd"/>
      <w:r w:rsidR="00816D96">
        <w:t xml:space="preserve"> unit</w:t>
      </w:r>
      <w:r w:rsidR="00F10EE6">
        <w:t xml:space="preserve">.  </w:t>
      </w:r>
      <w:r w:rsidR="00816D96">
        <w:t>Each unit</w:t>
      </w:r>
      <w:r w:rsidR="00F10EE6">
        <w:t xml:space="preserve"> </w:t>
      </w:r>
      <w:r w:rsidR="00E6238E">
        <w:t>should consult legal counsel to develop appropriate terms.</w:t>
      </w:r>
      <w:r w:rsidR="00237913">
        <w:rPr>
          <w:rStyle w:val="FootnoteReference"/>
        </w:rPr>
        <w:footnoteReference w:id="9"/>
      </w:r>
      <w:r>
        <w:t xml:space="preserve">  The Addendum contains</w:t>
      </w:r>
      <w:r w:rsidR="00F10EE6">
        <w:t xml:space="preserve"> all</w:t>
      </w:r>
      <w:r>
        <w:t xml:space="preserve"> other clauses required by 2 C.F.R. Part 200, Appendix II</w:t>
      </w:r>
      <w:r w:rsidR="00816D96">
        <w:t xml:space="preserve"> that are</w:t>
      </w:r>
      <w:r w:rsidR="00D92141">
        <w:t xml:space="preserve"> applicable to Fiscal Recovery Funds</w:t>
      </w:r>
      <w:r w:rsidR="00F10EE6">
        <w:t xml:space="preserve"> (but see Question #4</w:t>
      </w:r>
      <w:r w:rsidR="00AC5145">
        <w:t xml:space="preserve"> below</w:t>
      </w:r>
      <w:r w:rsidR="00F10EE6">
        <w:t>).</w:t>
      </w:r>
    </w:p>
    <w:p w14:paraId="0711CD47" w14:textId="0A7D95A4" w:rsidR="00D422A3" w:rsidRPr="00DC1B62" w:rsidRDefault="00D422A3" w:rsidP="00522ED3">
      <w:pPr>
        <w:ind w:firstLine="720"/>
        <w:jc w:val="both"/>
      </w:pPr>
      <w:r w:rsidRPr="00DC1B62">
        <w:rPr>
          <w:i/>
          <w:iCs/>
          <w:u w:val="single"/>
        </w:rPr>
        <w:t>Question</w:t>
      </w:r>
      <w:r w:rsidR="006040D4">
        <w:rPr>
          <w:i/>
          <w:iCs/>
          <w:u w:val="single"/>
        </w:rPr>
        <w:t xml:space="preserve"> #4</w:t>
      </w:r>
      <w:r w:rsidR="00AE418C" w:rsidRPr="002B7007">
        <w:t>:</w:t>
      </w:r>
      <w:r w:rsidR="00AE418C" w:rsidRPr="00DC1B62">
        <w:rPr>
          <w:i/>
          <w:iCs/>
        </w:rPr>
        <w:t xml:space="preserve">  </w:t>
      </w:r>
      <w:r w:rsidR="00522ED3">
        <w:t xml:space="preserve">Appendix II, § (D) requires “all prime construction contracts in excess of $2,000” to include a provision for compliance with the Davis-Bacon Act and associated regulations promulgated by the Department of Labor.  </w:t>
      </w:r>
      <w:r w:rsidRPr="00DC1B62">
        <w:t xml:space="preserve">Why does the Addendum </w:t>
      </w:r>
      <w:r w:rsidRPr="00522ED3">
        <w:rPr>
          <w:u w:val="single"/>
        </w:rPr>
        <w:t>not</w:t>
      </w:r>
      <w:r w:rsidRPr="00DC1B62">
        <w:t xml:space="preserve"> contain provisions requiring compliance with the Davis-Bacon Act?</w:t>
      </w:r>
    </w:p>
    <w:p w14:paraId="44AAD4D5" w14:textId="64F8F750" w:rsidR="001E4DDC" w:rsidRPr="00DC1B62" w:rsidRDefault="009D3493" w:rsidP="00CE2B39">
      <w:pPr>
        <w:ind w:left="720"/>
        <w:jc w:val="both"/>
      </w:pPr>
      <w:r w:rsidRPr="00DC1B62">
        <w:rPr>
          <w:u w:val="single"/>
        </w:rPr>
        <w:t>Answer</w:t>
      </w:r>
      <w:r w:rsidRPr="00DC1B62">
        <w:t>:</w:t>
      </w:r>
      <w:r w:rsidR="006E48FC">
        <w:t xml:space="preserve">  </w:t>
      </w:r>
      <w:r w:rsidR="00D92141">
        <w:t>See Footnote</w:t>
      </w:r>
      <w:r w:rsidR="009F6CAE">
        <w:t xml:space="preserve"> </w:t>
      </w:r>
      <w:r w:rsidR="00D92141">
        <w:t>#</w:t>
      </w:r>
      <w:r w:rsidR="00944673">
        <w:fldChar w:fldCharType="begin"/>
      </w:r>
      <w:r w:rsidR="00944673">
        <w:instrText xml:space="preserve"> NOTEREF _Ref98247255 \h </w:instrText>
      </w:r>
      <w:r w:rsidR="00944673">
        <w:fldChar w:fldCharType="separate"/>
      </w:r>
      <w:r w:rsidR="00944673">
        <w:t>6</w:t>
      </w:r>
      <w:r w:rsidR="00944673">
        <w:fldChar w:fldCharType="end"/>
      </w:r>
      <w:r w:rsidR="00944673">
        <w:t xml:space="preserve"> </w:t>
      </w:r>
      <w:r w:rsidR="001F4FAF">
        <w:t>of the Addendum.</w:t>
      </w:r>
    </w:p>
    <w:p w14:paraId="3586F28B" w14:textId="01133256" w:rsidR="00E6238E" w:rsidRPr="00DC1B62" w:rsidRDefault="00E6238E" w:rsidP="00E6238E">
      <w:pPr>
        <w:ind w:firstLine="720"/>
      </w:pPr>
      <w:r w:rsidRPr="00DC1B62">
        <w:rPr>
          <w:i/>
          <w:iCs/>
          <w:u w:val="single"/>
        </w:rPr>
        <w:t>Question</w:t>
      </w:r>
      <w:r>
        <w:rPr>
          <w:i/>
          <w:iCs/>
          <w:u w:val="single"/>
        </w:rPr>
        <w:t xml:space="preserve"> #</w:t>
      </w:r>
      <w:r w:rsidR="00185C93">
        <w:rPr>
          <w:i/>
          <w:iCs/>
          <w:u w:val="single"/>
        </w:rPr>
        <w:t>5</w:t>
      </w:r>
      <w:r w:rsidRPr="00DC1B62">
        <w:rPr>
          <w:i/>
          <w:iCs/>
          <w:u w:val="single"/>
        </w:rPr>
        <w:t>:</w:t>
      </w:r>
      <w:r w:rsidRPr="00DC1B62">
        <w:rPr>
          <w:i/>
          <w:iCs/>
        </w:rPr>
        <w:t xml:space="preserve">  </w:t>
      </w:r>
      <w:r w:rsidR="0022613D">
        <w:t>Which clauses in the Addendum are mandatory and which are recommended?</w:t>
      </w:r>
      <w:r>
        <w:t xml:space="preserve"> </w:t>
      </w:r>
    </w:p>
    <w:p w14:paraId="24EADDF5" w14:textId="6F34861D" w:rsidR="00A71ED7" w:rsidRDefault="0022613D" w:rsidP="00B832F6">
      <w:pPr>
        <w:jc w:val="both"/>
      </w:pPr>
      <w:r>
        <w:tab/>
        <w:t xml:space="preserve">The table below provides a </w:t>
      </w:r>
      <w:r w:rsidR="004949DD">
        <w:t>reference guide and the source of any requirement or recommendation</w:t>
      </w:r>
      <w:r w:rsidR="001C6CFB">
        <w:t xml:space="preserve">.  </w:t>
      </w:r>
      <w:r w:rsidR="00EA6CB9">
        <w:t xml:space="preserve">This table should be read in conjunction with the </w:t>
      </w:r>
      <w:r w:rsidR="001C6CFB">
        <w:t xml:space="preserve">footnotes in the </w:t>
      </w:r>
      <w:r w:rsidR="00EA6CB9">
        <w:t xml:space="preserve">Addendum.  </w:t>
      </w:r>
    </w:p>
    <w:tbl>
      <w:tblPr>
        <w:tblStyle w:val="ListTable3-Accent1"/>
        <w:tblW w:w="0" w:type="auto"/>
        <w:jc w:val="center"/>
        <w:tblLook w:val="04A0" w:firstRow="1" w:lastRow="0" w:firstColumn="1" w:lastColumn="0" w:noHBand="0" w:noVBand="1"/>
      </w:tblPr>
      <w:tblGrid>
        <w:gridCol w:w="999"/>
        <w:gridCol w:w="3191"/>
        <w:gridCol w:w="2375"/>
        <w:gridCol w:w="203"/>
        <w:gridCol w:w="2582"/>
      </w:tblGrid>
      <w:tr w:rsidR="0022613D" w14:paraId="7190F3D0" w14:textId="77777777" w:rsidTr="0022613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9" w:type="dxa"/>
          </w:tcPr>
          <w:p w14:paraId="4310C269" w14:textId="77777777" w:rsidR="0022613D" w:rsidRDefault="0022613D" w:rsidP="00A8092D">
            <w:pPr>
              <w:rPr>
                <w:b w:val="0"/>
                <w:bCs w:val="0"/>
              </w:rPr>
            </w:pPr>
            <w:r>
              <w:t>Section</w:t>
            </w:r>
          </w:p>
          <w:p w14:paraId="74FF003F" w14:textId="77777777" w:rsidR="0022613D" w:rsidRDefault="0022613D" w:rsidP="00A8092D">
            <w:pPr>
              <w:jc w:val="center"/>
            </w:pPr>
            <w:r>
              <w:t>Number</w:t>
            </w:r>
          </w:p>
        </w:tc>
        <w:tc>
          <w:tcPr>
            <w:tcW w:w="3191" w:type="dxa"/>
          </w:tcPr>
          <w:p w14:paraId="75B96360" w14:textId="77777777" w:rsidR="0022613D" w:rsidRDefault="0022613D" w:rsidP="00A8092D">
            <w:pPr>
              <w:jc w:val="center"/>
              <w:cnfStyle w:val="100000000000" w:firstRow="1" w:lastRow="0" w:firstColumn="0" w:lastColumn="0" w:oddVBand="0" w:evenVBand="0" w:oddHBand="0" w:evenHBand="0" w:firstRowFirstColumn="0" w:firstRowLastColumn="0" w:lastRowFirstColumn="0" w:lastRowLastColumn="0"/>
            </w:pPr>
            <w:r>
              <w:t>Title of Section</w:t>
            </w:r>
          </w:p>
        </w:tc>
        <w:tc>
          <w:tcPr>
            <w:tcW w:w="2578" w:type="dxa"/>
            <w:gridSpan w:val="2"/>
          </w:tcPr>
          <w:p w14:paraId="642648B1" w14:textId="1616C377" w:rsidR="0022613D" w:rsidRDefault="0022613D" w:rsidP="00A8092D">
            <w:pPr>
              <w:jc w:val="center"/>
              <w:cnfStyle w:val="100000000000" w:firstRow="1" w:lastRow="0" w:firstColumn="0" w:lastColumn="0" w:oddVBand="0" w:evenVBand="0" w:oddHBand="0" w:evenHBand="0" w:firstRowFirstColumn="0" w:firstRowLastColumn="0" w:lastRowFirstColumn="0" w:lastRowLastColumn="0"/>
            </w:pPr>
            <w:r>
              <w:t>Is Inclusion Mandatory or Recommended?</w:t>
            </w:r>
            <w:r w:rsidR="00EA6CB9">
              <w:rPr>
                <w:rStyle w:val="FootnoteReference"/>
              </w:rPr>
              <w:footnoteReference w:id="10"/>
            </w:r>
          </w:p>
        </w:tc>
        <w:tc>
          <w:tcPr>
            <w:tcW w:w="2582" w:type="dxa"/>
          </w:tcPr>
          <w:p w14:paraId="2BBFA104" w14:textId="40459CE4" w:rsidR="0022613D" w:rsidRDefault="0022613D" w:rsidP="00A8092D">
            <w:pPr>
              <w:jc w:val="center"/>
              <w:cnfStyle w:val="100000000000" w:firstRow="1" w:lastRow="0" w:firstColumn="0" w:lastColumn="0" w:oddVBand="0" w:evenVBand="0" w:oddHBand="0" w:evenHBand="0" w:firstRowFirstColumn="0" w:firstRowLastColumn="0" w:lastRowFirstColumn="0" w:lastRowLastColumn="0"/>
            </w:pPr>
            <w:r>
              <w:t>Source of Requirement or Recommendation</w:t>
            </w:r>
            <w:r w:rsidR="004D2D2C">
              <w:rPr>
                <w:rStyle w:val="FootnoteReference"/>
              </w:rPr>
              <w:footnoteReference w:id="11"/>
            </w:r>
          </w:p>
        </w:tc>
      </w:tr>
      <w:tr w:rsidR="004715D1" w14:paraId="28808150"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0C1292B5" w14:textId="64EDA883" w:rsidR="004715D1" w:rsidRDefault="004715D1" w:rsidP="00A8092D">
            <w:r>
              <w:t>I</w:t>
            </w:r>
          </w:p>
        </w:tc>
        <w:tc>
          <w:tcPr>
            <w:tcW w:w="3191" w:type="dxa"/>
          </w:tcPr>
          <w:p w14:paraId="3F92E180" w14:textId="5C014083" w:rsidR="004715D1" w:rsidRDefault="004715D1" w:rsidP="00A8092D">
            <w:pPr>
              <w:cnfStyle w:val="000000100000" w:firstRow="0" w:lastRow="0" w:firstColumn="0" w:lastColumn="0" w:oddVBand="0" w:evenVBand="0" w:oddHBand="1" w:evenHBand="0" w:firstRowFirstColumn="0" w:firstRowLastColumn="0" w:lastRowFirstColumn="0" w:lastRowLastColumn="0"/>
            </w:pPr>
            <w:r>
              <w:t>Definitions</w:t>
            </w:r>
          </w:p>
        </w:tc>
        <w:tc>
          <w:tcPr>
            <w:tcW w:w="2375" w:type="dxa"/>
          </w:tcPr>
          <w:p w14:paraId="00E1CABD" w14:textId="5875E78F" w:rsidR="004715D1" w:rsidRDefault="004715D1" w:rsidP="00194564">
            <w:pPr>
              <w:jc w:val="center"/>
              <w:cnfStyle w:val="000000100000" w:firstRow="0" w:lastRow="0" w:firstColumn="0" w:lastColumn="0" w:oddVBand="0" w:evenVBand="0" w:oddHBand="1" w:evenHBand="0" w:firstRowFirstColumn="0" w:firstRowLastColumn="0" w:lastRowFirstColumn="0" w:lastRowLastColumn="0"/>
            </w:pPr>
            <w:r>
              <w:t>N/A</w:t>
            </w:r>
          </w:p>
        </w:tc>
        <w:tc>
          <w:tcPr>
            <w:tcW w:w="2785" w:type="dxa"/>
            <w:gridSpan w:val="2"/>
          </w:tcPr>
          <w:p w14:paraId="712B62F7" w14:textId="364C92FD" w:rsidR="004715D1" w:rsidRDefault="004715D1" w:rsidP="00A8092D">
            <w:pPr>
              <w:cnfStyle w:val="000000100000" w:firstRow="0" w:lastRow="0" w:firstColumn="0" w:lastColumn="0" w:oddVBand="0" w:evenVBand="0" w:oddHBand="1" w:evenHBand="0" w:firstRowFirstColumn="0" w:firstRowLastColumn="0" w:lastRowFirstColumn="0" w:lastRowLastColumn="0"/>
            </w:pPr>
            <w:r>
              <w:t>N/A</w:t>
            </w:r>
          </w:p>
        </w:tc>
      </w:tr>
      <w:tr w:rsidR="0022613D" w14:paraId="1D0E1752"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60E658D7" w14:textId="77777777" w:rsidR="0022613D" w:rsidRDefault="0022613D" w:rsidP="00A8092D">
            <w:r>
              <w:t>II</w:t>
            </w:r>
          </w:p>
        </w:tc>
        <w:tc>
          <w:tcPr>
            <w:tcW w:w="3191" w:type="dxa"/>
          </w:tcPr>
          <w:p w14:paraId="7FEB07B1" w14:textId="77777777" w:rsidR="0022613D" w:rsidRDefault="0022613D" w:rsidP="00A8092D">
            <w:pPr>
              <w:cnfStyle w:val="000000000000" w:firstRow="0" w:lastRow="0" w:firstColumn="0" w:lastColumn="0" w:oddVBand="0" w:evenVBand="0" w:oddHBand="0" w:evenHBand="0" w:firstRowFirstColumn="0" w:firstRowLastColumn="0" w:lastRowFirstColumn="0" w:lastRowLastColumn="0"/>
            </w:pPr>
            <w:r>
              <w:t>Equal Employment Opportunity</w:t>
            </w:r>
          </w:p>
        </w:tc>
        <w:tc>
          <w:tcPr>
            <w:tcW w:w="2375" w:type="dxa"/>
          </w:tcPr>
          <w:p w14:paraId="76931E76" w14:textId="56575594" w:rsidR="0022613D" w:rsidRDefault="0022613D" w:rsidP="00194564">
            <w:pPr>
              <w:jc w:val="center"/>
              <w:cnfStyle w:val="000000000000" w:firstRow="0" w:lastRow="0" w:firstColumn="0" w:lastColumn="0" w:oddVBand="0" w:evenVBand="0" w:oddHBand="0" w:evenHBand="0" w:firstRowFirstColumn="0" w:firstRowLastColumn="0" w:lastRowFirstColumn="0" w:lastRowLastColumn="0"/>
            </w:pPr>
            <w:r>
              <w:t>Mandatory</w:t>
            </w:r>
          </w:p>
        </w:tc>
        <w:tc>
          <w:tcPr>
            <w:tcW w:w="2785" w:type="dxa"/>
            <w:gridSpan w:val="2"/>
          </w:tcPr>
          <w:p w14:paraId="05049D2A" w14:textId="789ADC75" w:rsidR="0022613D" w:rsidRDefault="0022613D" w:rsidP="00A8092D">
            <w:pPr>
              <w:cnfStyle w:val="000000000000" w:firstRow="0" w:lastRow="0" w:firstColumn="0" w:lastColumn="0" w:oddVBand="0" w:evenVBand="0" w:oddHBand="0" w:evenHBand="0" w:firstRowFirstColumn="0" w:firstRowLastColumn="0" w:lastRowFirstColumn="0" w:lastRowLastColumn="0"/>
            </w:pPr>
            <w:r>
              <w:t>Appendix II, § (C)</w:t>
            </w:r>
          </w:p>
        </w:tc>
      </w:tr>
      <w:tr w:rsidR="0022613D" w14:paraId="61E58A97"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40A16E12" w14:textId="77777777" w:rsidR="0022613D" w:rsidRDefault="0022613D" w:rsidP="00A8092D">
            <w:r>
              <w:t>III</w:t>
            </w:r>
          </w:p>
        </w:tc>
        <w:tc>
          <w:tcPr>
            <w:tcW w:w="3191" w:type="dxa"/>
          </w:tcPr>
          <w:p w14:paraId="0C0874BF" w14:textId="77777777" w:rsidR="0022613D" w:rsidRDefault="0022613D" w:rsidP="00A8092D">
            <w:pPr>
              <w:cnfStyle w:val="000000100000" w:firstRow="0" w:lastRow="0" w:firstColumn="0" w:lastColumn="0" w:oddVBand="0" w:evenVBand="0" w:oddHBand="1" w:evenHBand="0" w:firstRowFirstColumn="0" w:firstRowLastColumn="0" w:lastRowFirstColumn="0" w:lastRowLastColumn="0"/>
            </w:pPr>
            <w:r>
              <w:t>Copeland Anti-Kickback Act</w:t>
            </w:r>
          </w:p>
        </w:tc>
        <w:tc>
          <w:tcPr>
            <w:tcW w:w="2375" w:type="dxa"/>
          </w:tcPr>
          <w:p w14:paraId="3B736C73" w14:textId="5BE651C9" w:rsidR="0022613D" w:rsidRDefault="00D701F4" w:rsidP="00194564">
            <w:pPr>
              <w:jc w:val="center"/>
              <w:cnfStyle w:val="000000100000" w:firstRow="0" w:lastRow="0" w:firstColumn="0" w:lastColumn="0" w:oddVBand="0" w:evenVBand="0" w:oddHBand="1" w:evenHBand="0" w:firstRowFirstColumn="0" w:firstRowLastColumn="0" w:lastRowFirstColumn="0" w:lastRowLastColumn="0"/>
            </w:pPr>
            <w:r>
              <w:t>Mandatory</w:t>
            </w:r>
          </w:p>
        </w:tc>
        <w:tc>
          <w:tcPr>
            <w:tcW w:w="2785" w:type="dxa"/>
            <w:gridSpan w:val="2"/>
          </w:tcPr>
          <w:p w14:paraId="56143FEF" w14:textId="37EB2FF1" w:rsidR="0022613D" w:rsidRDefault="0022613D" w:rsidP="00A8092D">
            <w:pPr>
              <w:cnfStyle w:val="000000100000" w:firstRow="0" w:lastRow="0" w:firstColumn="0" w:lastColumn="0" w:oddVBand="0" w:evenVBand="0" w:oddHBand="1" w:evenHBand="0" w:firstRowFirstColumn="0" w:firstRowLastColumn="0" w:lastRowFirstColumn="0" w:lastRowLastColumn="0"/>
            </w:pPr>
            <w:r>
              <w:t>Appendix II, § (D)</w:t>
            </w:r>
          </w:p>
        </w:tc>
      </w:tr>
      <w:tr w:rsidR="0022613D" w14:paraId="6E143C39"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3E02A9BC" w14:textId="77777777" w:rsidR="0022613D" w:rsidRDefault="0022613D" w:rsidP="00A8092D">
            <w:r>
              <w:t>IV</w:t>
            </w:r>
          </w:p>
        </w:tc>
        <w:tc>
          <w:tcPr>
            <w:tcW w:w="3191" w:type="dxa"/>
          </w:tcPr>
          <w:p w14:paraId="073653D6" w14:textId="77777777" w:rsidR="0022613D" w:rsidRDefault="0022613D" w:rsidP="00A8092D">
            <w:pPr>
              <w:cnfStyle w:val="000000000000" w:firstRow="0" w:lastRow="0" w:firstColumn="0" w:lastColumn="0" w:oddVBand="0" w:evenVBand="0" w:oddHBand="0" w:evenHBand="0" w:firstRowFirstColumn="0" w:firstRowLastColumn="0" w:lastRowFirstColumn="0" w:lastRowLastColumn="0"/>
            </w:pPr>
            <w:r>
              <w:t>Contract Work Hours and Safety Standards Act</w:t>
            </w:r>
          </w:p>
        </w:tc>
        <w:tc>
          <w:tcPr>
            <w:tcW w:w="2375" w:type="dxa"/>
          </w:tcPr>
          <w:p w14:paraId="4A3AF79B" w14:textId="77777777" w:rsidR="0022613D" w:rsidRDefault="0022613D" w:rsidP="00194564">
            <w:pPr>
              <w:jc w:val="center"/>
              <w:cnfStyle w:val="000000000000" w:firstRow="0" w:lastRow="0" w:firstColumn="0" w:lastColumn="0" w:oddVBand="0" w:evenVBand="0" w:oddHBand="0" w:evenHBand="0" w:firstRowFirstColumn="0" w:firstRowLastColumn="0" w:lastRowFirstColumn="0" w:lastRowLastColumn="0"/>
            </w:pPr>
            <w:r>
              <w:t>Mandatory</w:t>
            </w:r>
          </w:p>
        </w:tc>
        <w:tc>
          <w:tcPr>
            <w:tcW w:w="2785" w:type="dxa"/>
            <w:gridSpan w:val="2"/>
          </w:tcPr>
          <w:p w14:paraId="5339DE5B" w14:textId="41DA603A" w:rsidR="0022613D" w:rsidRDefault="0022613D" w:rsidP="00A8092D">
            <w:pPr>
              <w:cnfStyle w:val="000000000000" w:firstRow="0" w:lastRow="0" w:firstColumn="0" w:lastColumn="0" w:oddVBand="0" w:evenVBand="0" w:oddHBand="0" w:evenHBand="0" w:firstRowFirstColumn="0" w:firstRowLastColumn="0" w:lastRowFirstColumn="0" w:lastRowLastColumn="0"/>
            </w:pPr>
            <w:r>
              <w:t>Appendix II, § (</w:t>
            </w:r>
            <w:r w:rsidR="00A71ED7">
              <w:t>E</w:t>
            </w:r>
            <w:r>
              <w:t>)</w:t>
            </w:r>
          </w:p>
        </w:tc>
      </w:tr>
      <w:tr w:rsidR="00FB0B5D" w14:paraId="060DC5FC"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00512DDD" w14:textId="03E0A976" w:rsidR="00FB0B5D" w:rsidRDefault="00FB0B5D" w:rsidP="00FB0B5D">
            <w:r>
              <w:t>V</w:t>
            </w:r>
          </w:p>
        </w:tc>
        <w:tc>
          <w:tcPr>
            <w:tcW w:w="3191" w:type="dxa"/>
          </w:tcPr>
          <w:p w14:paraId="4559151B" w14:textId="2E24CD7E" w:rsidR="00FB0B5D" w:rsidRDefault="00FB0B5D" w:rsidP="00FB0B5D">
            <w:pPr>
              <w:cnfStyle w:val="000000100000" w:firstRow="0" w:lastRow="0" w:firstColumn="0" w:lastColumn="0" w:oddVBand="0" w:evenVBand="0" w:oddHBand="1" w:evenHBand="0" w:firstRowFirstColumn="0" w:firstRowLastColumn="0" w:lastRowFirstColumn="0" w:lastRowLastColumn="0"/>
            </w:pPr>
            <w:r>
              <w:t>Rights to Inventions</w:t>
            </w:r>
            <w:r w:rsidR="00AC5145">
              <w:t xml:space="preserve"> Made Under a Contract or Agreement</w:t>
            </w:r>
          </w:p>
        </w:tc>
        <w:tc>
          <w:tcPr>
            <w:tcW w:w="2375" w:type="dxa"/>
          </w:tcPr>
          <w:p w14:paraId="058B91E4" w14:textId="4819467A" w:rsidR="00FB0B5D" w:rsidRDefault="00AC5145" w:rsidP="00FB0B5D">
            <w:pPr>
              <w:jc w:val="center"/>
              <w:cnfStyle w:val="000000100000" w:firstRow="0" w:lastRow="0" w:firstColumn="0" w:lastColumn="0" w:oddVBand="0" w:evenVBand="0" w:oddHBand="1" w:evenHBand="0" w:firstRowFirstColumn="0" w:firstRowLastColumn="0" w:lastRowFirstColumn="0" w:lastRowLastColumn="0"/>
            </w:pPr>
            <w:r>
              <w:t>Mandatory</w:t>
            </w:r>
            <w:r w:rsidR="00C60357">
              <w:rPr>
                <w:rStyle w:val="FootnoteReference"/>
              </w:rPr>
              <w:footnoteReference w:id="12"/>
            </w:r>
          </w:p>
        </w:tc>
        <w:tc>
          <w:tcPr>
            <w:tcW w:w="2785" w:type="dxa"/>
            <w:gridSpan w:val="2"/>
          </w:tcPr>
          <w:p w14:paraId="56689AF6" w14:textId="6CF4FF9B" w:rsidR="00FB0B5D" w:rsidRDefault="00AC5145" w:rsidP="00FB0B5D">
            <w:pPr>
              <w:cnfStyle w:val="000000100000" w:firstRow="0" w:lastRow="0" w:firstColumn="0" w:lastColumn="0" w:oddVBand="0" w:evenVBand="0" w:oddHBand="1" w:evenHBand="0" w:firstRowFirstColumn="0" w:firstRowLastColumn="0" w:lastRowFirstColumn="0" w:lastRowLastColumn="0"/>
            </w:pPr>
            <w:r>
              <w:t>Appendix II, § (F)</w:t>
            </w:r>
          </w:p>
        </w:tc>
      </w:tr>
      <w:tr w:rsidR="00FB0B5D" w14:paraId="44F98250"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19573784" w14:textId="5CD1C372" w:rsidR="00FB0B5D" w:rsidRDefault="00FB0B5D" w:rsidP="00FB0B5D">
            <w:r>
              <w:t>VI</w:t>
            </w:r>
          </w:p>
        </w:tc>
        <w:tc>
          <w:tcPr>
            <w:tcW w:w="3191" w:type="dxa"/>
          </w:tcPr>
          <w:p w14:paraId="41F99081"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Clean Air Act and Federal Water Pollution Control Act</w:t>
            </w:r>
          </w:p>
        </w:tc>
        <w:tc>
          <w:tcPr>
            <w:tcW w:w="2375" w:type="dxa"/>
          </w:tcPr>
          <w:p w14:paraId="1E297EA1"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Mandatory</w:t>
            </w:r>
          </w:p>
        </w:tc>
        <w:tc>
          <w:tcPr>
            <w:tcW w:w="2785" w:type="dxa"/>
            <w:gridSpan w:val="2"/>
          </w:tcPr>
          <w:p w14:paraId="38EBB131" w14:textId="08625AE4" w:rsidR="00FB0B5D" w:rsidRDefault="00FB0B5D" w:rsidP="00FB0B5D">
            <w:pPr>
              <w:cnfStyle w:val="000000000000" w:firstRow="0" w:lastRow="0" w:firstColumn="0" w:lastColumn="0" w:oddVBand="0" w:evenVBand="0" w:oddHBand="0" w:evenHBand="0" w:firstRowFirstColumn="0" w:firstRowLastColumn="0" w:lastRowFirstColumn="0" w:lastRowLastColumn="0"/>
            </w:pPr>
            <w:r>
              <w:t>Appendix II, § (G)</w:t>
            </w:r>
          </w:p>
        </w:tc>
      </w:tr>
      <w:tr w:rsidR="00FB0B5D" w14:paraId="0464511F"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330904EA" w14:textId="7643D35D" w:rsidR="00FB0B5D" w:rsidRDefault="00FB0B5D" w:rsidP="00FB0B5D">
            <w:r>
              <w:t>VII</w:t>
            </w:r>
          </w:p>
        </w:tc>
        <w:tc>
          <w:tcPr>
            <w:tcW w:w="3191" w:type="dxa"/>
          </w:tcPr>
          <w:p w14:paraId="7C0E5447"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Debarment and Suspension</w:t>
            </w:r>
          </w:p>
        </w:tc>
        <w:tc>
          <w:tcPr>
            <w:tcW w:w="2375" w:type="dxa"/>
          </w:tcPr>
          <w:p w14:paraId="4CC42EBD" w14:textId="5D88D608" w:rsidR="00FB0B5D" w:rsidRDefault="00FB0B5D" w:rsidP="00FB0B5D">
            <w:pPr>
              <w:jc w:val="center"/>
              <w:cnfStyle w:val="000000100000" w:firstRow="0" w:lastRow="0" w:firstColumn="0" w:lastColumn="0" w:oddVBand="0" w:evenVBand="0" w:oddHBand="1" w:evenHBand="0" w:firstRowFirstColumn="0" w:firstRowLastColumn="0" w:lastRowFirstColumn="0" w:lastRowLastColumn="0"/>
            </w:pPr>
            <w:r>
              <w:t>Mandatory</w:t>
            </w:r>
          </w:p>
        </w:tc>
        <w:tc>
          <w:tcPr>
            <w:tcW w:w="2785" w:type="dxa"/>
            <w:gridSpan w:val="2"/>
          </w:tcPr>
          <w:p w14:paraId="1D41E7BF" w14:textId="7A706ABA" w:rsidR="00FB0B5D" w:rsidRDefault="00FB0B5D" w:rsidP="00FB0B5D">
            <w:pPr>
              <w:cnfStyle w:val="000000100000" w:firstRow="0" w:lastRow="0" w:firstColumn="0" w:lastColumn="0" w:oddVBand="0" w:evenVBand="0" w:oddHBand="1" w:evenHBand="0" w:firstRowFirstColumn="0" w:firstRowLastColumn="0" w:lastRowFirstColumn="0" w:lastRowLastColumn="0"/>
            </w:pPr>
            <w:r>
              <w:t>Appendix II, § (H)</w:t>
            </w:r>
          </w:p>
        </w:tc>
      </w:tr>
      <w:tr w:rsidR="00FB0B5D" w14:paraId="6379916D"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1788D7B9" w14:textId="231086A8" w:rsidR="00FB0B5D" w:rsidRDefault="00FB0B5D" w:rsidP="00FB0B5D">
            <w:r>
              <w:t>VIII</w:t>
            </w:r>
          </w:p>
        </w:tc>
        <w:tc>
          <w:tcPr>
            <w:tcW w:w="3191" w:type="dxa"/>
          </w:tcPr>
          <w:p w14:paraId="77C8964A"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Byrd Anti-Lobbying Amendment</w:t>
            </w:r>
          </w:p>
        </w:tc>
        <w:tc>
          <w:tcPr>
            <w:tcW w:w="2375" w:type="dxa"/>
          </w:tcPr>
          <w:p w14:paraId="653A9D07"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Mandatory</w:t>
            </w:r>
          </w:p>
        </w:tc>
        <w:tc>
          <w:tcPr>
            <w:tcW w:w="2785" w:type="dxa"/>
            <w:gridSpan w:val="2"/>
          </w:tcPr>
          <w:p w14:paraId="14A6F109" w14:textId="30C69CF5" w:rsidR="00FB0B5D" w:rsidRDefault="00FB0B5D" w:rsidP="00FB0B5D">
            <w:pPr>
              <w:cnfStyle w:val="000000000000" w:firstRow="0" w:lastRow="0" w:firstColumn="0" w:lastColumn="0" w:oddVBand="0" w:evenVBand="0" w:oddHBand="0" w:evenHBand="0" w:firstRowFirstColumn="0" w:firstRowLastColumn="0" w:lastRowFirstColumn="0" w:lastRowLastColumn="0"/>
            </w:pPr>
            <w:r>
              <w:t>Appendix II, § (I)</w:t>
            </w:r>
          </w:p>
        </w:tc>
      </w:tr>
      <w:tr w:rsidR="00FB0B5D" w14:paraId="5C528C36"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49CCF46A" w14:textId="4C0A95D9" w:rsidR="00FB0B5D" w:rsidRDefault="00FB0B5D" w:rsidP="00FB0B5D">
            <w:r>
              <w:t>IX</w:t>
            </w:r>
          </w:p>
        </w:tc>
        <w:tc>
          <w:tcPr>
            <w:tcW w:w="3191" w:type="dxa"/>
          </w:tcPr>
          <w:p w14:paraId="56C95CF9"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Procurement of Recovered Materials</w:t>
            </w:r>
          </w:p>
        </w:tc>
        <w:tc>
          <w:tcPr>
            <w:tcW w:w="2375" w:type="dxa"/>
          </w:tcPr>
          <w:p w14:paraId="0600ADD4" w14:textId="77777777" w:rsidR="00FB0B5D" w:rsidRDefault="00FB0B5D" w:rsidP="00FB0B5D">
            <w:pPr>
              <w:jc w:val="center"/>
              <w:cnfStyle w:val="000000100000" w:firstRow="0" w:lastRow="0" w:firstColumn="0" w:lastColumn="0" w:oddVBand="0" w:evenVBand="0" w:oddHBand="1" w:evenHBand="0" w:firstRowFirstColumn="0" w:firstRowLastColumn="0" w:lastRowFirstColumn="0" w:lastRowLastColumn="0"/>
            </w:pPr>
            <w:r>
              <w:t>Mandatory</w:t>
            </w:r>
          </w:p>
        </w:tc>
        <w:tc>
          <w:tcPr>
            <w:tcW w:w="2785" w:type="dxa"/>
            <w:gridSpan w:val="2"/>
          </w:tcPr>
          <w:p w14:paraId="68CCBECD"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Appendix II, § (J</w:t>
            </w:r>
            <w:proofErr w:type="gramStart"/>
            <w:r>
              <w:t>);</w:t>
            </w:r>
            <w:proofErr w:type="gramEnd"/>
            <w:r>
              <w:t xml:space="preserve"> </w:t>
            </w:r>
          </w:p>
          <w:p w14:paraId="63194AAC" w14:textId="3EE16AD8" w:rsidR="00FB0B5D" w:rsidRDefault="00FB0B5D" w:rsidP="00FB0B5D">
            <w:pPr>
              <w:cnfStyle w:val="000000100000" w:firstRow="0" w:lastRow="0" w:firstColumn="0" w:lastColumn="0" w:oddVBand="0" w:evenVBand="0" w:oddHBand="1" w:evenHBand="0" w:firstRowFirstColumn="0" w:firstRowLastColumn="0" w:lastRowFirstColumn="0" w:lastRowLastColumn="0"/>
            </w:pPr>
            <w:r>
              <w:t>2 C.F.R. § 200.323.</w:t>
            </w:r>
          </w:p>
        </w:tc>
      </w:tr>
      <w:tr w:rsidR="00FB0B5D" w14:paraId="69980F7E"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65D9EAC0" w14:textId="4D239639" w:rsidR="00FB0B5D" w:rsidRDefault="00FB0B5D" w:rsidP="00FB0B5D">
            <w:r>
              <w:lastRenderedPageBreak/>
              <w:t>X</w:t>
            </w:r>
          </w:p>
        </w:tc>
        <w:tc>
          <w:tcPr>
            <w:tcW w:w="3191" w:type="dxa"/>
          </w:tcPr>
          <w:p w14:paraId="740FC09B"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Prohibition on Contracting for Covered Telecommunications Equipment or Services</w:t>
            </w:r>
          </w:p>
        </w:tc>
        <w:tc>
          <w:tcPr>
            <w:tcW w:w="2375" w:type="dxa"/>
          </w:tcPr>
          <w:p w14:paraId="1B5CF9FD"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Mandatory</w:t>
            </w:r>
          </w:p>
        </w:tc>
        <w:tc>
          <w:tcPr>
            <w:tcW w:w="2785" w:type="dxa"/>
            <w:gridSpan w:val="2"/>
          </w:tcPr>
          <w:p w14:paraId="46258EF8"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Appendix II, § (K</w:t>
            </w:r>
            <w:proofErr w:type="gramStart"/>
            <w:r>
              <w:t>);</w:t>
            </w:r>
            <w:proofErr w:type="gramEnd"/>
          </w:p>
          <w:p w14:paraId="58EF262A" w14:textId="21BC7CD4" w:rsidR="00FB0B5D" w:rsidRDefault="00FB0B5D" w:rsidP="00FB0B5D">
            <w:pPr>
              <w:cnfStyle w:val="000000000000" w:firstRow="0" w:lastRow="0" w:firstColumn="0" w:lastColumn="0" w:oddVBand="0" w:evenVBand="0" w:oddHBand="0" w:evenHBand="0" w:firstRowFirstColumn="0" w:firstRowLastColumn="0" w:lastRowFirstColumn="0" w:lastRowLastColumn="0"/>
            </w:pPr>
            <w:r>
              <w:t>2 C.F.R. § 200.216.</w:t>
            </w:r>
          </w:p>
        </w:tc>
      </w:tr>
      <w:tr w:rsidR="00FB0B5D" w14:paraId="78F16CB0"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099746BE" w14:textId="6946F43A" w:rsidR="00FB0B5D" w:rsidRDefault="00FB0B5D" w:rsidP="00FB0B5D">
            <w:r>
              <w:t>XI</w:t>
            </w:r>
          </w:p>
        </w:tc>
        <w:tc>
          <w:tcPr>
            <w:tcW w:w="3191" w:type="dxa"/>
          </w:tcPr>
          <w:p w14:paraId="0B81A511"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Domestic Preferences for Procurement</w:t>
            </w:r>
          </w:p>
        </w:tc>
        <w:tc>
          <w:tcPr>
            <w:tcW w:w="2375" w:type="dxa"/>
          </w:tcPr>
          <w:p w14:paraId="07A63FF1" w14:textId="77777777" w:rsidR="00FB0B5D" w:rsidRDefault="00FB0B5D" w:rsidP="00FB0B5D">
            <w:pPr>
              <w:jc w:val="center"/>
              <w:cnfStyle w:val="000000100000" w:firstRow="0" w:lastRow="0" w:firstColumn="0" w:lastColumn="0" w:oddVBand="0" w:evenVBand="0" w:oddHBand="1" w:evenHBand="0" w:firstRowFirstColumn="0" w:firstRowLastColumn="0" w:lastRowFirstColumn="0" w:lastRowLastColumn="0"/>
            </w:pPr>
            <w:r>
              <w:t>Mandatory</w:t>
            </w:r>
          </w:p>
        </w:tc>
        <w:tc>
          <w:tcPr>
            <w:tcW w:w="2785" w:type="dxa"/>
            <w:gridSpan w:val="2"/>
          </w:tcPr>
          <w:p w14:paraId="2532EB85"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Appendix II, § (L</w:t>
            </w:r>
            <w:proofErr w:type="gramStart"/>
            <w:r>
              <w:t>);</w:t>
            </w:r>
            <w:proofErr w:type="gramEnd"/>
          </w:p>
          <w:p w14:paraId="0FEFADF6" w14:textId="06EBD99D" w:rsidR="00FB0B5D" w:rsidRDefault="00FB0B5D" w:rsidP="00FB0B5D">
            <w:pPr>
              <w:cnfStyle w:val="000000100000" w:firstRow="0" w:lastRow="0" w:firstColumn="0" w:lastColumn="0" w:oddVBand="0" w:evenVBand="0" w:oddHBand="1" w:evenHBand="0" w:firstRowFirstColumn="0" w:firstRowLastColumn="0" w:lastRowFirstColumn="0" w:lastRowLastColumn="0"/>
            </w:pPr>
            <w:r>
              <w:t>2 C.F.R. § 200.322</w:t>
            </w:r>
          </w:p>
        </w:tc>
      </w:tr>
      <w:tr w:rsidR="00FB0B5D" w14:paraId="2693806C"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60E39039" w14:textId="62144802" w:rsidR="00FB0B5D" w:rsidRDefault="00FB0B5D" w:rsidP="00FB0B5D">
            <w:r>
              <w:t>XII</w:t>
            </w:r>
          </w:p>
        </w:tc>
        <w:tc>
          <w:tcPr>
            <w:tcW w:w="3191" w:type="dxa"/>
          </w:tcPr>
          <w:p w14:paraId="1520D751"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Solicitation of Minority and Women-Owned Business Enterprise</w:t>
            </w:r>
          </w:p>
        </w:tc>
        <w:tc>
          <w:tcPr>
            <w:tcW w:w="2375" w:type="dxa"/>
          </w:tcPr>
          <w:p w14:paraId="27F7F65A"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 xml:space="preserve">Mandatory </w:t>
            </w:r>
          </w:p>
          <w:p w14:paraId="27F0F487" w14:textId="6587DB61"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w:t>
            </w:r>
            <w:proofErr w:type="gramStart"/>
            <w:r>
              <w:t>if</w:t>
            </w:r>
            <w:proofErr w:type="gramEnd"/>
            <w:r>
              <w:t xml:space="preserve"> Subcontracts are to be let)</w:t>
            </w:r>
          </w:p>
        </w:tc>
        <w:tc>
          <w:tcPr>
            <w:tcW w:w="2785" w:type="dxa"/>
            <w:gridSpan w:val="2"/>
          </w:tcPr>
          <w:p w14:paraId="61E19810" w14:textId="450F08F7" w:rsidR="00FB0B5D" w:rsidRDefault="00FB0B5D" w:rsidP="00FB0B5D">
            <w:pPr>
              <w:cnfStyle w:val="000000000000" w:firstRow="0" w:lastRow="0" w:firstColumn="0" w:lastColumn="0" w:oddVBand="0" w:evenVBand="0" w:oddHBand="0" w:evenHBand="0" w:firstRowFirstColumn="0" w:firstRowLastColumn="0" w:lastRowFirstColumn="0" w:lastRowLastColumn="0"/>
            </w:pPr>
            <w:r>
              <w:t>2 C.F.R. § 200.321(b)(6).</w:t>
            </w:r>
          </w:p>
        </w:tc>
      </w:tr>
      <w:tr w:rsidR="00FB0B5D" w14:paraId="3101D289"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03B26436" w14:textId="3F1B66FE" w:rsidR="00FB0B5D" w:rsidRDefault="00FB0B5D" w:rsidP="00FB0B5D">
            <w:r>
              <w:t>XIII</w:t>
            </w:r>
          </w:p>
        </w:tc>
        <w:tc>
          <w:tcPr>
            <w:tcW w:w="3191" w:type="dxa"/>
          </w:tcPr>
          <w:p w14:paraId="6DBB2F33"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Access to Records</w:t>
            </w:r>
          </w:p>
        </w:tc>
        <w:tc>
          <w:tcPr>
            <w:tcW w:w="2375" w:type="dxa"/>
          </w:tcPr>
          <w:p w14:paraId="410EB196" w14:textId="77777777" w:rsidR="00FB0B5D" w:rsidRDefault="00FB0B5D" w:rsidP="00FB0B5D">
            <w:pPr>
              <w:jc w:val="center"/>
              <w:cnfStyle w:val="000000100000" w:firstRow="0" w:lastRow="0" w:firstColumn="0" w:lastColumn="0" w:oddVBand="0" w:evenVBand="0" w:oddHBand="1" w:evenHBand="0" w:firstRowFirstColumn="0" w:firstRowLastColumn="0" w:lastRowFirstColumn="0" w:lastRowLastColumn="0"/>
            </w:pPr>
            <w:r>
              <w:t>Recommended</w:t>
            </w:r>
          </w:p>
        </w:tc>
        <w:tc>
          <w:tcPr>
            <w:tcW w:w="2785" w:type="dxa"/>
            <w:gridSpan w:val="2"/>
          </w:tcPr>
          <w:p w14:paraId="6BBF9D48" w14:textId="51DE4655" w:rsidR="00FB0B5D" w:rsidRDefault="00944673" w:rsidP="00944673">
            <w:pPr>
              <w:cnfStyle w:val="000000100000" w:firstRow="0" w:lastRow="0" w:firstColumn="0" w:lastColumn="0" w:oddVBand="0" w:evenVBand="0" w:oddHBand="1" w:evenHBand="0" w:firstRowFirstColumn="0" w:firstRowLastColumn="0" w:lastRowFirstColumn="0" w:lastRowLastColumn="0"/>
            </w:pPr>
            <w:r>
              <w:t xml:space="preserve">Local </w:t>
            </w:r>
            <w:r w:rsidR="00FB0B5D">
              <w:t>FRF Award Terms, § 4; 2 C.F.R. § 200.334</w:t>
            </w:r>
          </w:p>
        </w:tc>
      </w:tr>
      <w:tr w:rsidR="00FB0B5D" w14:paraId="7B675134"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2DF6A385" w14:textId="194AF831" w:rsidR="00FB0B5D" w:rsidRDefault="00FB0B5D" w:rsidP="00FB0B5D">
            <w:r>
              <w:t>XIV</w:t>
            </w:r>
          </w:p>
        </w:tc>
        <w:tc>
          <w:tcPr>
            <w:tcW w:w="3191" w:type="dxa"/>
          </w:tcPr>
          <w:p w14:paraId="69EBDF4F"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Conflicts of Interest; Gifts and Favors</w:t>
            </w:r>
          </w:p>
        </w:tc>
        <w:tc>
          <w:tcPr>
            <w:tcW w:w="2375" w:type="dxa"/>
          </w:tcPr>
          <w:p w14:paraId="18E2CA2B"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Recommended</w:t>
            </w:r>
          </w:p>
        </w:tc>
        <w:tc>
          <w:tcPr>
            <w:tcW w:w="2785" w:type="dxa"/>
            <w:gridSpan w:val="2"/>
          </w:tcPr>
          <w:p w14:paraId="4F729FBF" w14:textId="22D24CE4" w:rsidR="00FB0B5D" w:rsidRDefault="00944673" w:rsidP="00944673">
            <w:pPr>
              <w:cnfStyle w:val="000000000000" w:firstRow="0" w:lastRow="0" w:firstColumn="0" w:lastColumn="0" w:oddVBand="0" w:evenVBand="0" w:oddHBand="0" w:evenHBand="0" w:firstRowFirstColumn="0" w:firstRowLastColumn="0" w:lastRowFirstColumn="0" w:lastRowLastColumn="0"/>
            </w:pPr>
            <w:r>
              <w:t xml:space="preserve">Local </w:t>
            </w:r>
            <w:r w:rsidR="00FB0B5D">
              <w:t>FRF Award Terms, § 8</w:t>
            </w:r>
            <w:r>
              <w:t xml:space="preserve">; </w:t>
            </w:r>
            <w:r w:rsidR="00FB0B5D">
              <w:t>2 C.F.R. § 200.318(c)(1)</w:t>
            </w:r>
          </w:p>
        </w:tc>
      </w:tr>
      <w:tr w:rsidR="00FB0B5D" w14:paraId="4C071CE9"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45A32A88" w14:textId="6C202213" w:rsidR="00FB0B5D" w:rsidRDefault="00FB0B5D" w:rsidP="00FB0B5D">
            <w:r>
              <w:t>XV</w:t>
            </w:r>
          </w:p>
        </w:tc>
        <w:tc>
          <w:tcPr>
            <w:tcW w:w="3191" w:type="dxa"/>
          </w:tcPr>
          <w:p w14:paraId="1FA379F3"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Assurances of Compliance with Title VI of the Civil Rights Act of 1964</w:t>
            </w:r>
          </w:p>
        </w:tc>
        <w:tc>
          <w:tcPr>
            <w:tcW w:w="2375" w:type="dxa"/>
          </w:tcPr>
          <w:p w14:paraId="5D8A313F" w14:textId="77777777" w:rsidR="00FB0B5D" w:rsidRDefault="00FB0B5D" w:rsidP="00FB0B5D">
            <w:pPr>
              <w:jc w:val="center"/>
              <w:cnfStyle w:val="000000100000" w:firstRow="0" w:lastRow="0" w:firstColumn="0" w:lastColumn="0" w:oddVBand="0" w:evenVBand="0" w:oddHBand="1" w:evenHBand="0" w:firstRowFirstColumn="0" w:firstRowLastColumn="0" w:lastRowFirstColumn="0" w:lastRowLastColumn="0"/>
            </w:pPr>
            <w:r>
              <w:t>Mandatory</w:t>
            </w:r>
          </w:p>
        </w:tc>
        <w:tc>
          <w:tcPr>
            <w:tcW w:w="2785" w:type="dxa"/>
            <w:gridSpan w:val="2"/>
          </w:tcPr>
          <w:p w14:paraId="19903327" w14:textId="6795BF31" w:rsidR="00FB0B5D" w:rsidRDefault="00944673" w:rsidP="00FB0B5D">
            <w:pPr>
              <w:cnfStyle w:val="000000100000" w:firstRow="0" w:lastRow="0" w:firstColumn="0" w:lastColumn="0" w:oddVBand="0" w:evenVBand="0" w:oddHBand="1" w:evenHBand="0" w:firstRowFirstColumn="0" w:firstRowLastColumn="0" w:lastRowFirstColumn="0" w:lastRowLastColumn="0"/>
            </w:pPr>
            <w:r>
              <w:t xml:space="preserve">Local </w:t>
            </w:r>
            <w:r w:rsidR="00FB0B5D">
              <w:t>FRF Award Terms / Assurances of Compliances § 5</w:t>
            </w:r>
          </w:p>
        </w:tc>
      </w:tr>
      <w:tr w:rsidR="00FB0B5D" w14:paraId="417931F1"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47ECE3E5" w14:textId="27C82E89" w:rsidR="00FB0B5D" w:rsidRDefault="00FB0B5D" w:rsidP="00FB0B5D">
            <w:r>
              <w:t>XVI</w:t>
            </w:r>
          </w:p>
        </w:tc>
        <w:tc>
          <w:tcPr>
            <w:tcW w:w="3191" w:type="dxa"/>
          </w:tcPr>
          <w:p w14:paraId="65EFAC72"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Other Non-Discrimination Statutes</w:t>
            </w:r>
          </w:p>
        </w:tc>
        <w:tc>
          <w:tcPr>
            <w:tcW w:w="2375" w:type="dxa"/>
          </w:tcPr>
          <w:p w14:paraId="36B76C9A"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Recommended</w:t>
            </w:r>
          </w:p>
        </w:tc>
        <w:tc>
          <w:tcPr>
            <w:tcW w:w="2785" w:type="dxa"/>
            <w:gridSpan w:val="2"/>
          </w:tcPr>
          <w:p w14:paraId="35CE2BF5" w14:textId="42EA3F91" w:rsidR="00FB0B5D" w:rsidRDefault="00944673" w:rsidP="00FB0B5D">
            <w:pPr>
              <w:cnfStyle w:val="000000000000" w:firstRow="0" w:lastRow="0" w:firstColumn="0" w:lastColumn="0" w:oddVBand="0" w:evenVBand="0" w:oddHBand="0" w:evenHBand="0" w:firstRowFirstColumn="0" w:firstRowLastColumn="0" w:lastRowFirstColumn="0" w:lastRowLastColumn="0"/>
            </w:pPr>
            <w:r>
              <w:t xml:space="preserve">Local </w:t>
            </w:r>
            <w:r w:rsidR="00FB0B5D">
              <w:t>FRF Award Terms, § 9(c)</w:t>
            </w:r>
          </w:p>
        </w:tc>
      </w:tr>
      <w:tr w:rsidR="00FB0B5D" w14:paraId="41AF315B" w14:textId="77777777" w:rsidTr="001945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tcPr>
          <w:p w14:paraId="617DBF85" w14:textId="45AE0C85" w:rsidR="00FB0B5D" w:rsidRDefault="00FB0B5D" w:rsidP="00FB0B5D">
            <w:r>
              <w:t>XVII</w:t>
            </w:r>
          </w:p>
        </w:tc>
        <w:tc>
          <w:tcPr>
            <w:tcW w:w="3191" w:type="dxa"/>
          </w:tcPr>
          <w:p w14:paraId="30292A68" w14:textId="77777777" w:rsidR="00FB0B5D" w:rsidRDefault="00FB0B5D" w:rsidP="00FB0B5D">
            <w:pPr>
              <w:cnfStyle w:val="000000100000" w:firstRow="0" w:lastRow="0" w:firstColumn="0" w:lastColumn="0" w:oddVBand="0" w:evenVBand="0" w:oddHBand="1" w:evenHBand="0" w:firstRowFirstColumn="0" w:firstRowLastColumn="0" w:lastRowFirstColumn="0" w:lastRowLastColumn="0"/>
            </w:pPr>
            <w:r>
              <w:t>Miscellaneous</w:t>
            </w:r>
          </w:p>
        </w:tc>
        <w:tc>
          <w:tcPr>
            <w:tcW w:w="2375" w:type="dxa"/>
          </w:tcPr>
          <w:p w14:paraId="364CB07F" w14:textId="77777777" w:rsidR="00FB0B5D" w:rsidRDefault="00FB0B5D" w:rsidP="00FB0B5D">
            <w:pPr>
              <w:jc w:val="center"/>
              <w:cnfStyle w:val="000000100000" w:firstRow="0" w:lastRow="0" w:firstColumn="0" w:lastColumn="0" w:oddVBand="0" w:evenVBand="0" w:oddHBand="1" w:evenHBand="0" w:firstRowFirstColumn="0" w:firstRowLastColumn="0" w:lastRowFirstColumn="0" w:lastRowLastColumn="0"/>
            </w:pPr>
            <w:r>
              <w:t>Recommended</w:t>
            </w:r>
          </w:p>
        </w:tc>
        <w:tc>
          <w:tcPr>
            <w:tcW w:w="2785" w:type="dxa"/>
            <w:gridSpan w:val="2"/>
          </w:tcPr>
          <w:p w14:paraId="371BD460" w14:textId="4762C030" w:rsidR="00FB0B5D" w:rsidRDefault="00FB0B5D" w:rsidP="00FB0B5D">
            <w:pPr>
              <w:cnfStyle w:val="000000100000" w:firstRow="0" w:lastRow="0" w:firstColumn="0" w:lastColumn="0" w:oddVBand="0" w:evenVBand="0" w:oddHBand="1" w:evenHBand="0" w:firstRowFirstColumn="0" w:firstRowLastColumn="0" w:lastRowFirstColumn="0" w:lastRowLastColumn="0"/>
            </w:pPr>
            <w:r>
              <w:t>FRF Award Terms, §§ 17-18</w:t>
            </w:r>
          </w:p>
        </w:tc>
      </w:tr>
      <w:tr w:rsidR="00FB0B5D" w14:paraId="599FAE9A" w14:textId="77777777" w:rsidTr="00194564">
        <w:trPr>
          <w:jc w:val="center"/>
        </w:trPr>
        <w:tc>
          <w:tcPr>
            <w:cnfStyle w:val="001000000000" w:firstRow="0" w:lastRow="0" w:firstColumn="1" w:lastColumn="0" w:oddVBand="0" w:evenVBand="0" w:oddHBand="0" w:evenHBand="0" w:firstRowFirstColumn="0" w:firstRowLastColumn="0" w:lastRowFirstColumn="0" w:lastRowLastColumn="0"/>
            <w:tcW w:w="999" w:type="dxa"/>
          </w:tcPr>
          <w:p w14:paraId="790538A9" w14:textId="212F0ECA" w:rsidR="00FB0B5D" w:rsidRDefault="00FB0B5D" w:rsidP="00FB0B5D">
            <w:r>
              <w:t>XVIII</w:t>
            </w:r>
          </w:p>
        </w:tc>
        <w:tc>
          <w:tcPr>
            <w:tcW w:w="3191" w:type="dxa"/>
          </w:tcPr>
          <w:p w14:paraId="585BABF8" w14:textId="77777777" w:rsidR="00FB0B5D" w:rsidRDefault="00FB0B5D" w:rsidP="00FB0B5D">
            <w:pPr>
              <w:cnfStyle w:val="000000000000" w:firstRow="0" w:lastRow="0" w:firstColumn="0" w:lastColumn="0" w:oddVBand="0" w:evenVBand="0" w:oddHBand="0" w:evenHBand="0" w:firstRowFirstColumn="0" w:firstRowLastColumn="0" w:lastRowFirstColumn="0" w:lastRowLastColumn="0"/>
            </w:pPr>
            <w:r>
              <w:t>Conflicts and Interpretation</w:t>
            </w:r>
          </w:p>
        </w:tc>
        <w:tc>
          <w:tcPr>
            <w:tcW w:w="2375" w:type="dxa"/>
          </w:tcPr>
          <w:p w14:paraId="4FE13D9B" w14:textId="77777777" w:rsidR="00FB0B5D" w:rsidRDefault="00FB0B5D" w:rsidP="00FB0B5D">
            <w:pPr>
              <w:jc w:val="center"/>
              <w:cnfStyle w:val="000000000000" w:firstRow="0" w:lastRow="0" w:firstColumn="0" w:lastColumn="0" w:oddVBand="0" w:evenVBand="0" w:oddHBand="0" w:evenHBand="0" w:firstRowFirstColumn="0" w:firstRowLastColumn="0" w:lastRowFirstColumn="0" w:lastRowLastColumn="0"/>
            </w:pPr>
            <w:r>
              <w:t>Recommended</w:t>
            </w:r>
          </w:p>
        </w:tc>
        <w:tc>
          <w:tcPr>
            <w:tcW w:w="2785" w:type="dxa"/>
            <w:gridSpan w:val="2"/>
          </w:tcPr>
          <w:p w14:paraId="0F054E76" w14:textId="30B5F483" w:rsidR="00FB0B5D" w:rsidRDefault="00FB0B5D" w:rsidP="00FB0B5D">
            <w:pPr>
              <w:cnfStyle w:val="000000000000" w:firstRow="0" w:lastRow="0" w:firstColumn="0" w:lastColumn="0" w:oddVBand="0" w:evenVBand="0" w:oddHBand="0" w:evenHBand="0" w:firstRowFirstColumn="0" w:firstRowLastColumn="0" w:lastRowFirstColumn="0" w:lastRowLastColumn="0"/>
            </w:pPr>
            <w:r>
              <w:t>N/A</w:t>
            </w:r>
          </w:p>
        </w:tc>
      </w:tr>
    </w:tbl>
    <w:p w14:paraId="6141A089" w14:textId="77777777" w:rsidR="00085437" w:rsidRDefault="00085437" w:rsidP="00F31A7F">
      <w:pPr>
        <w:rPr>
          <w:i/>
          <w:iCs/>
          <w:u w:val="single"/>
        </w:rPr>
      </w:pPr>
    </w:p>
    <w:p w14:paraId="51C83A9D" w14:textId="0ED445A1" w:rsidR="00011079" w:rsidRDefault="00D46BB5" w:rsidP="00A5694C">
      <w:pPr>
        <w:ind w:firstLine="720"/>
      </w:pPr>
      <w:r w:rsidRPr="00DC1B62">
        <w:rPr>
          <w:i/>
          <w:iCs/>
          <w:u w:val="single"/>
        </w:rPr>
        <w:t>Question</w:t>
      </w:r>
      <w:r>
        <w:rPr>
          <w:i/>
          <w:iCs/>
          <w:u w:val="single"/>
        </w:rPr>
        <w:t xml:space="preserve"> #</w:t>
      </w:r>
      <w:r w:rsidR="00185C93">
        <w:rPr>
          <w:i/>
          <w:iCs/>
          <w:u w:val="single"/>
        </w:rPr>
        <w:t>6</w:t>
      </w:r>
      <w:r w:rsidR="00011079">
        <w:rPr>
          <w:i/>
          <w:iCs/>
        </w:rPr>
        <w:t>:</w:t>
      </w:r>
      <w:r w:rsidR="00011079">
        <w:t xml:space="preserve">  Can a unit use a “short form” of these provisions?</w:t>
      </w:r>
    </w:p>
    <w:p w14:paraId="700DEC3B" w14:textId="734607F4" w:rsidR="00011079" w:rsidRDefault="00011079" w:rsidP="00E436CB">
      <w:pPr>
        <w:jc w:val="both"/>
      </w:pPr>
      <w:r>
        <w:tab/>
      </w:r>
      <w:r w:rsidRPr="00856831">
        <w:rPr>
          <w:u w:val="single"/>
        </w:rPr>
        <w:t>Answer</w:t>
      </w:r>
      <w:r>
        <w:t xml:space="preserve">:  </w:t>
      </w:r>
      <w:r w:rsidR="00794DAA">
        <w:t xml:space="preserve">Likely not.  While </w:t>
      </w:r>
      <w:r w:rsidR="00AB495D">
        <w:t>counsel might assist in</w:t>
      </w:r>
      <w:r w:rsidR="0050271C">
        <w:t xml:space="preserve"> </w:t>
      </w:r>
      <w:r w:rsidR="00E436CB">
        <w:t>shortening</w:t>
      </w:r>
      <w:r w:rsidR="0050271C">
        <w:t xml:space="preserve"> some of these provisions</w:t>
      </w:r>
      <w:r w:rsidR="00E436CB">
        <w:t>, a blanket incorporation of “all provisions required by Appendix II to 2 C.F.R. Part 200” or “all provisions required by</w:t>
      </w:r>
      <w:r w:rsidR="00115256">
        <w:t xml:space="preserve"> the </w:t>
      </w:r>
      <w:r w:rsidR="002B4432">
        <w:t xml:space="preserve">Fiscal Recovery Fund Award Terms and Conditions” is </w:t>
      </w:r>
      <w:r w:rsidR="00174E19">
        <w:t>not a best practice</w:t>
      </w:r>
      <w:r w:rsidR="00C25415">
        <w:t xml:space="preserve">.  A “short form” </w:t>
      </w:r>
      <w:r w:rsidR="00F807EF">
        <w:t>may</w:t>
      </w:r>
      <w:r w:rsidR="00C25415">
        <w:t xml:space="preserve"> fail </w:t>
      </w:r>
      <w:r w:rsidR="00F807EF">
        <w:t xml:space="preserve">to adequately notify contractors which terms </w:t>
      </w:r>
      <w:proofErr w:type="gramStart"/>
      <w:r w:rsidR="00F807EF">
        <w:t>actually apply</w:t>
      </w:r>
      <w:proofErr w:type="gramEnd"/>
      <w:r w:rsidR="00F807EF">
        <w:t xml:space="preserve"> and</w:t>
      </w:r>
      <w:r w:rsidR="00174E19">
        <w:t xml:space="preserve"> may</w:t>
      </w:r>
      <w:r w:rsidR="00F807EF">
        <w:t xml:space="preserve"> increase the risk that either the unit or the contractor fails to </w:t>
      </w:r>
      <w:r w:rsidR="007C556A">
        <w:t xml:space="preserve">take </w:t>
      </w:r>
      <w:r w:rsidR="00174E19">
        <w:t>required actions</w:t>
      </w:r>
      <w:r w:rsidR="007C556A">
        <w:t>.</w:t>
      </w:r>
      <w:r w:rsidR="00F807EF">
        <w:t xml:space="preserve"> </w:t>
      </w:r>
    </w:p>
    <w:p w14:paraId="09C2C3AC" w14:textId="54EE7ED6" w:rsidR="00CC5927" w:rsidRDefault="009D2496" w:rsidP="001C0A24">
      <w:pPr>
        <w:ind w:firstLine="720"/>
        <w:jc w:val="both"/>
      </w:pPr>
      <w:r>
        <w:t>The Federal Transit Administration</w:t>
      </w:r>
      <w:r w:rsidR="007C556A">
        <w:t xml:space="preserve"> (“</w:t>
      </w:r>
      <w:r w:rsidR="007C556A">
        <w:rPr>
          <w:i/>
          <w:iCs/>
        </w:rPr>
        <w:t>FTA</w:t>
      </w:r>
      <w:r w:rsidR="007C556A">
        <w:t>”)</w:t>
      </w:r>
      <w:r>
        <w:t xml:space="preserve">, in </w:t>
      </w:r>
      <w:r w:rsidR="007C556A">
        <w:t>addressing the obligation of FTA grantee</w:t>
      </w:r>
      <w:r w:rsidR="00174E19">
        <w:t>s</w:t>
      </w:r>
      <w:r w:rsidR="007C556A">
        <w:t xml:space="preserve"> to include required</w:t>
      </w:r>
      <w:r>
        <w:t xml:space="preserve"> clauses</w:t>
      </w:r>
      <w:r w:rsidR="007C556A">
        <w:t xml:space="preserve"> in </w:t>
      </w:r>
      <w:r w:rsidR="00174E19">
        <w:t>third</w:t>
      </w:r>
      <w:r w:rsidR="001C0A24">
        <w:t>-</w:t>
      </w:r>
      <w:r w:rsidR="00174E19">
        <w:t>party procurement contracts, has</w:t>
      </w:r>
      <w:r w:rsidR="007C556A">
        <w:t xml:space="preserve"> noted that “</w:t>
      </w:r>
      <w:r w:rsidR="006B77DF">
        <w:t>[i]t is not acceptable to simply reference [</w:t>
      </w:r>
      <w:r w:rsidR="00DC2ACD">
        <w:t xml:space="preserve">FTA’s Master </w:t>
      </w:r>
      <w:r w:rsidR="00B714B0">
        <w:t xml:space="preserve">Award </w:t>
      </w:r>
      <w:r w:rsidR="00DC2ACD">
        <w:t>Agreement with grantees] and leave contractors the responsibility to decide</w:t>
      </w:r>
      <w:r w:rsidR="00EF6C6F">
        <w:t xml:space="preserve"> which statutes and regulations apply to that particular contract</w:t>
      </w:r>
      <w:r w:rsidR="006B1387">
        <w:t>.</w:t>
      </w:r>
      <w:r w:rsidR="00405C2D">
        <w:t>”</w:t>
      </w:r>
      <w:r w:rsidR="006B1387">
        <w:rPr>
          <w:rStyle w:val="FootnoteReference"/>
        </w:rPr>
        <w:footnoteReference w:id="13"/>
      </w:r>
      <w:r w:rsidR="006B1387">
        <w:t xml:space="preserve">  </w:t>
      </w:r>
      <w:r w:rsidR="00BB4677">
        <w:t xml:space="preserve">Similarly, it is unlikely that </w:t>
      </w:r>
      <w:r w:rsidR="00D126D2">
        <w:t>Treasury has a favorable view of “short form” contract provisions that</w:t>
      </w:r>
      <w:r w:rsidR="00F92D72">
        <w:t xml:space="preserve"> </w:t>
      </w:r>
      <w:r w:rsidR="00D126D2">
        <w:t>incorporate all</w:t>
      </w:r>
      <w:r w:rsidR="00F92D72">
        <w:t xml:space="preserve"> statutory or regulatory</w:t>
      </w:r>
      <w:r w:rsidR="00D126D2">
        <w:t xml:space="preserve"> requirements that </w:t>
      </w:r>
      <w:r w:rsidR="00D126D2" w:rsidRPr="1D0E235B">
        <w:rPr>
          <w:i/>
          <w:iCs/>
        </w:rPr>
        <w:t>may</w:t>
      </w:r>
      <w:r w:rsidR="00D126D2">
        <w:t xml:space="preserve"> be applicable</w:t>
      </w:r>
      <w:r w:rsidR="00667B32">
        <w:t xml:space="preserve"> to </w:t>
      </w:r>
      <w:r w:rsidR="00597A79">
        <w:t>a particular contract supported by</w:t>
      </w:r>
      <w:r w:rsidR="00667B32">
        <w:t xml:space="preserve"> Fiscal Recovery Funds</w:t>
      </w:r>
      <w:r w:rsidR="00D126D2">
        <w:t xml:space="preserve">.  </w:t>
      </w:r>
      <w:r w:rsidR="00CC5927">
        <w:t xml:space="preserve">In December 2021, </w:t>
      </w:r>
      <w:r w:rsidR="00326AA1">
        <w:t>the Office of Management and Budget</w:t>
      </w:r>
      <w:r w:rsidR="00CC5927">
        <w:t xml:space="preserve"> </w:t>
      </w:r>
      <w:r w:rsidR="00D126D2">
        <w:t xml:space="preserve">specifically </w:t>
      </w:r>
      <w:r w:rsidR="00CC5927">
        <w:t>indicated that auditors should check</w:t>
      </w:r>
      <w:r w:rsidR="00D126D2">
        <w:t xml:space="preserve"> Fiscal Recovery Fund-supported</w:t>
      </w:r>
      <w:r w:rsidR="00CC5927">
        <w:t xml:space="preserve"> contracts for the inclusion of applicable contract clauses</w:t>
      </w:r>
      <w:r w:rsidR="00D126D2">
        <w:t xml:space="preserve"> contained in 2 C.F.R. Part 200</w:t>
      </w:r>
      <w:r w:rsidR="00EE0447">
        <w:t>, Appendix II</w:t>
      </w:r>
      <w:r w:rsidR="00CC5927">
        <w:t>.</w:t>
      </w:r>
      <w:r w:rsidR="00F678C9">
        <w:rPr>
          <w:rStyle w:val="FootnoteReference"/>
        </w:rPr>
        <w:footnoteReference w:id="14"/>
      </w:r>
      <w:r w:rsidR="00597A79">
        <w:t xml:space="preserve">  Given the specific direction given to auditors and </w:t>
      </w:r>
      <w:r w:rsidR="000B02E7">
        <w:t>potential confusion generated by a blanket incorporation of “all applicable terms and conditions”, units should use the Addendum to develop standard terms and conditions that can be used for Fiscal Recovery Fund supported contracts.</w:t>
      </w:r>
    </w:p>
    <w:p w14:paraId="2E06A8F8" w14:textId="18885F6D" w:rsidR="00B26172" w:rsidRDefault="00CD56D8" w:rsidP="00B26172">
      <w:pPr>
        <w:ind w:firstLine="720"/>
        <w:jc w:val="both"/>
      </w:pPr>
      <w:r w:rsidRPr="000472F4">
        <w:rPr>
          <w:i/>
          <w:iCs/>
          <w:u w:val="single"/>
        </w:rPr>
        <w:lastRenderedPageBreak/>
        <w:t>Question #7</w:t>
      </w:r>
      <w:r>
        <w:rPr>
          <w:i/>
          <w:iCs/>
        </w:rPr>
        <w:t>:</w:t>
      </w:r>
      <w:r>
        <w:t xml:space="preserve">  </w:t>
      </w:r>
      <w:r w:rsidR="000472F4">
        <w:t xml:space="preserve">If a unit desires to make a “micro-purchase” of goods or services from a qualified </w:t>
      </w:r>
      <w:r w:rsidR="00B26172">
        <w:t>contractor</w:t>
      </w:r>
      <w:r w:rsidR="000472F4">
        <w:t>, must it</w:t>
      </w:r>
      <w:r w:rsidR="00B26172">
        <w:t xml:space="preserve"> </w:t>
      </w:r>
      <w:proofErr w:type="gramStart"/>
      <w:r w:rsidR="00B26172">
        <w:t>enter into</w:t>
      </w:r>
      <w:proofErr w:type="gramEnd"/>
      <w:r w:rsidR="00B26172">
        <w:t xml:space="preserve"> a written contract with such contractor</w:t>
      </w:r>
      <w:r w:rsidR="00CA5BF3">
        <w:t xml:space="preserve"> containing clauses from the Model Addendum</w:t>
      </w:r>
      <w:r w:rsidR="00B26172">
        <w:t>?</w:t>
      </w:r>
    </w:p>
    <w:p w14:paraId="49D3F240" w14:textId="1A4FCD8D" w:rsidR="00B26172" w:rsidRDefault="00CA5BF3" w:rsidP="00B26172">
      <w:pPr>
        <w:ind w:firstLine="720"/>
        <w:jc w:val="both"/>
      </w:pPr>
      <w:r>
        <w:rPr>
          <w:u w:val="single"/>
        </w:rPr>
        <w:t>Answer:</w:t>
      </w:r>
      <w:r>
        <w:t xml:space="preserve">  </w:t>
      </w:r>
      <w:r w:rsidR="00F26487">
        <w:t>Units of local government may, on a non-competitive basis, use Fiscal Recovery Funds to</w:t>
      </w:r>
      <w:r w:rsidR="00887F19">
        <w:t xml:space="preserve"> acquire supplies or services </w:t>
      </w:r>
      <w:r w:rsidR="00034124">
        <w:t>when the aggregate amount of such purchase does not exceed the “micro-purchase threshold”.</w:t>
      </w:r>
      <w:r w:rsidR="00F26487">
        <w:rPr>
          <w:rStyle w:val="FootnoteReference"/>
        </w:rPr>
        <w:footnoteReference w:id="15"/>
      </w:r>
      <w:r w:rsidR="00105F3B">
        <w:t xml:space="preserve">  As of November 12, 2020, a unit of local government in North Carolina expending federally awarded funds subject to the procurement standards in the Uniform Guidance must </w:t>
      </w:r>
      <w:r w:rsidR="009F573F">
        <w:t>“</w:t>
      </w:r>
      <w:proofErr w:type="spellStart"/>
      <w:r w:rsidR="009F573F">
        <w:t>determin</w:t>
      </w:r>
      <w:proofErr w:type="spellEnd"/>
      <w:r w:rsidR="009F573F">
        <w:t xml:space="preserve">[e] and </w:t>
      </w:r>
      <w:proofErr w:type="spellStart"/>
      <w:r w:rsidR="00D323EE">
        <w:t>documen</w:t>
      </w:r>
      <w:proofErr w:type="spellEnd"/>
      <w:r w:rsidR="00D323EE">
        <w:t>[t] an appropriate micro-purchase threshold</w:t>
      </w:r>
      <w:r w:rsidR="009E26B4">
        <w:t xml:space="preserve"> based on internal controls, an evaluation of risk, and its documented procurement procedures.”</w:t>
      </w:r>
      <w:r w:rsidR="009E26B4">
        <w:rPr>
          <w:rStyle w:val="FootnoteReference"/>
        </w:rPr>
        <w:footnoteReference w:id="16"/>
      </w:r>
      <w:r w:rsidR="00C37606">
        <w:t xml:space="preserve">  Generally, that threshold is $10,000 (as identified in the Federal Acquisition Regulation (48 C.F.R. Part </w:t>
      </w:r>
      <w:r w:rsidR="00497373">
        <w:t>2, Subpart 2.1</w:t>
      </w:r>
      <w:r w:rsidR="00C37606">
        <w:t>)</w:t>
      </w:r>
      <w:r w:rsidR="00497373">
        <w:t xml:space="preserve"> unless a unit self-certifies a </w:t>
      </w:r>
      <w:r w:rsidR="002E7179">
        <w:t>“</w:t>
      </w:r>
      <w:r w:rsidR="00497373">
        <w:t>higher threshold consistent with state law”</w:t>
      </w:r>
      <w:r w:rsidR="002E7179">
        <w:t xml:space="preserve"> or receives federal authorization to set an alternative micro-purchase threshold</w:t>
      </w:r>
      <w:r w:rsidR="006C014D">
        <w:t xml:space="preserve"> that exceeds $50,000</w:t>
      </w:r>
      <w:r w:rsidR="002E7179">
        <w:t>.</w:t>
      </w:r>
      <w:r w:rsidR="00497373">
        <w:rPr>
          <w:rStyle w:val="FootnoteReference"/>
        </w:rPr>
        <w:footnoteReference w:id="17"/>
      </w:r>
    </w:p>
    <w:p w14:paraId="5C84B4F4" w14:textId="54B8BAC1" w:rsidR="00CD56D8" w:rsidRPr="00CD56D8" w:rsidRDefault="00E23043" w:rsidP="00B26172">
      <w:pPr>
        <w:ind w:firstLine="720"/>
        <w:jc w:val="both"/>
      </w:pPr>
      <w:r>
        <w:t>In non-binding guidance, the U.S. Chief Financial Officers’ Council has stated that a non-Federal entity</w:t>
      </w:r>
      <w:r w:rsidR="002E7179">
        <w:t xml:space="preserve"> </w:t>
      </w:r>
      <w:r>
        <w:t>ma</w:t>
      </w:r>
      <w:r w:rsidR="002E7179">
        <w:t>y use a purchase-card or charge car</w:t>
      </w:r>
      <w:r w:rsidR="00D31ED5">
        <w:t>d</w:t>
      </w:r>
      <w:r>
        <w:t xml:space="preserve"> to make a micro-purchase, </w:t>
      </w:r>
      <w:proofErr w:type="gramStart"/>
      <w:r>
        <w:t>as long as</w:t>
      </w:r>
      <w:proofErr w:type="gramEnd"/>
      <w:r>
        <w:t xml:space="preserve"> the entity has documented and approved procedures for such purchases</w:t>
      </w:r>
      <w:r w:rsidR="00851906">
        <w:t>.</w:t>
      </w:r>
      <w:r w:rsidR="00851906">
        <w:rPr>
          <w:rStyle w:val="FootnoteReference"/>
        </w:rPr>
        <w:footnoteReference w:id="18"/>
      </w:r>
      <w:r w:rsidR="003E5215">
        <w:t xml:space="preserve">  </w:t>
      </w:r>
      <w:r w:rsidR="00E8186B">
        <w:t>Such a purchase is still a “contract” for purposes of the Uniform Guidance</w:t>
      </w:r>
      <w:r w:rsidR="006F5F99">
        <w:t xml:space="preserve"> procurement standards</w:t>
      </w:r>
      <w:r w:rsidR="00E8186B">
        <w:t xml:space="preserve">.  </w:t>
      </w:r>
      <w:r w:rsidR="00CE407F">
        <w:t>Therefore</w:t>
      </w:r>
      <w:r w:rsidR="003E5215">
        <w:t xml:space="preserve">, </w:t>
      </w:r>
      <w:r w:rsidR="00CE407F">
        <w:t>a unit using Fiscal Recovery Funds to pay for such a contract</w:t>
      </w:r>
      <w:r w:rsidR="003E5215">
        <w:t xml:space="preserve"> </w:t>
      </w:r>
      <w:r w:rsidR="00413A51">
        <w:t xml:space="preserve">still may have an obligation under 2 C.F.R. § 200.327 and Appendix II to 2 C.F.R. Part 200 to </w:t>
      </w:r>
      <w:r w:rsidR="00E8186B">
        <w:t xml:space="preserve">include in those contracts </w:t>
      </w:r>
      <w:r w:rsidR="004B4359">
        <w:t>the clauses specified in Appendix II to 2 C.F.R. Part 200.</w:t>
      </w:r>
      <w:r w:rsidR="006F5F99">
        <w:t xml:space="preserve">  In these cases, a unit </w:t>
      </w:r>
      <w:r w:rsidR="009D62DB">
        <w:t>may consider</w:t>
      </w:r>
      <w:r w:rsidR="001D5FEE">
        <w:t xml:space="preserve"> </w:t>
      </w:r>
      <w:r w:rsidR="00E54EFF">
        <w:t xml:space="preserve">placing the required clauses on its website, stating that such provisions govern any electronic transactions into which the unit enters using Fiscal Recovery Funds.  </w:t>
      </w:r>
      <w:r w:rsidR="001D5FEE">
        <w:t>A</w:t>
      </w:r>
      <w:r w:rsidR="00CE407F">
        <w:t>lternatively, a unit could avoid purely electronic payment and ensure that a contractor executes a purchase order containing the terms required by the Addendum.</w:t>
      </w:r>
    </w:p>
    <w:p w14:paraId="003E9532" w14:textId="08BCFACF" w:rsidR="00D46BB5" w:rsidRDefault="00F735D6" w:rsidP="00A5694C">
      <w:pPr>
        <w:ind w:firstLine="720"/>
      </w:pPr>
      <w:r w:rsidRPr="00A5694C">
        <w:rPr>
          <w:i/>
          <w:iCs/>
          <w:u w:val="single"/>
        </w:rPr>
        <w:t>Question #</w:t>
      </w:r>
      <w:r w:rsidR="00CD56D8">
        <w:rPr>
          <w:i/>
          <w:iCs/>
          <w:u w:val="single"/>
        </w:rPr>
        <w:t>8</w:t>
      </w:r>
      <w:r>
        <w:t>:  What is the purpose of Attachment 1?  Is it part of the Addendum?</w:t>
      </w:r>
    </w:p>
    <w:p w14:paraId="0FB35AA5" w14:textId="0B7AB2F3" w:rsidR="00F735D6" w:rsidRDefault="00F735D6" w:rsidP="002253FE">
      <w:pPr>
        <w:jc w:val="both"/>
      </w:pPr>
      <w:r>
        <w:tab/>
      </w:r>
      <w:r w:rsidRPr="00856831">
        <w:rPr>
          <w:u w:val="single"/>
        </w:rPr>
        <w:t>Answer</w:t>
      </w:r>
      <w:r>
        <w:t xml:space="preserve">:  See Footnote </w:t>
      </w:r>
      <w:r w:rsidR="009F6CAE">
        <w:t>#</w:t>
      </w:r>
      <w:r w:rsidR="00CD56D8">
        <w:fldChar w:fldCharType="begin"/>
      </w:r>
      <w:r w:rsidR="00CD56D8">
        <w:instrText xml:space="preserve"> NOTEREF _Ref98247365 \h </w:instrText>
      </w:r>
      <w:r w:rsidR="00CD56D8">
        <w:fldChar w:fldCharType="separate"/>
      </w:r>
      <w:r w:rsidR="00CD56D8">
        <w:t>16</w:t>
      </w:r>
      <w:r w:rsidR="00CD56D8">
        <w:fldChar w:fldCharType="end"/>
      </w:r>
      <w:r w:rsidR="00495BF8">
        <w:t xml:space="preserve"> of the Addendum.</w:t>
      </w:r>
      <w:r>
        <w:t xml:space="preserve">  If </w:t>
      </w:r>
      <w:r w:rsidR="0075425A">
        <w:t xml:space="preserve">a </w:t>
      </w:r>
      <w:r w:rsidR="004471A6">
        <w:t>contract amount exceeds $100,000</w:t>
      </w:r>
      <w:r w:rsidR="002253FE" w:rsidRPr="002253FE">
        <w:t>, a unit should collect the certification from the contractor.  If the contractor intends to let any subcontracts exceeding $100,000, the contractor</w:t>
      </w:r>
      <w:r w:rsidR="009E38DD">
        <w:t xml:space="preserve"> also</w:t>
      </w:r>
      <w:r w:rsidR="002253FE" w:rsidRPr="002253FE">
        <w:t xml:space="preserve"> should collect this certification from subcontractors</w:t>
      </w:r>
      <w:r w:rsidR="00911AF0">
        <w:t xml:space="preserve"> holding these subcontracts</w:t>
      </w:r>
      <w:r w:rsidR="004471A6">
        <w:t>.</w:t>
      </w:r>
    </w:p>
    <w:p w14:paraId="51936242" w14:textId="60EC3BD2" w:rsidR="006954AB" w:rsidRDefault="007C05F0" w:rsidP="00CD56D8">
      <w:pPr>
        <w:jc w:val="both"/>
      </w:pPr>
      <w:r>
        <w:tab/>
      </w:r>
      <w:r w:rsidRPr="007C05F0">
        <w:rPr>
          <w:i/>
          <w:iCs/>
          <w:u w:val="single"/>
        </w:rPr>
        <w:t>Question #</w:t>
      </w:r>
      <w:r w:rsidR="000472F4">
        <w:rPr>
          <w:i/>
          <w:iCs/>
          <w:u w:val="single"/>
        </w:rPr>
        <w:t>9</w:t>
      </w:r>
      <w:r w:rsidRPr="000B02E7">
        <w:t>:</w:t>
      </w:r>
      <w:r>
        <w:rPr>
          <w:b/>
          <w:bCs/>
        </w:rPr>
        <w:t xml:space="preserve">  </w:t>
      </w:r>
      <w:r>
        <w:t xml:space="preserve">If a </w:t>
      </w:r>
      <w:r w:rsidR="006954AB">
        <w:t xml:space="preserve">unit has used </w:t>
      </w:r>
      <w:r w:rsidR="00575EE1">
        <w:t xml:space="preserve">other forms of </w:t>
      </w:r>
      <w:r w:rsidR="000567D7">
        <w:t>Federal financial assistance</w:t>
      </w:r>
      <w:r w:rsidR="00575EE1">
        <w:t xml:space="preserve"> and developed </w:t>
      </w:r>
      <w:r w:rsidR="00263AF7">
        <w:t xml:space="preserve">clauses to use </w:t>
      </w:r>
      <w:r w:rsidR="00CD56D8">
        <w:t>for contracts supported by such assistance</w:t>
      </w:r>
      <w:r w:rsidR="006954AB">
        <w:t>, will</w:t>
      </w:r>
      <w:r w:rsidR="00263AF7">
        <w:t xml:space="preserve"> those clauses</w:t>
      </w:r>
      <w:r w:rsidR="006954AB">
        <w:t xml:space="preserve"> suffice</w:t>
      </w:r>
      <w:r w:rsidR="0088132C">
        <w:t xml:space="preserve"> for contracts supported by Fiscal Recovery Funds</w:t>
      </w:r>
      <w:r w:rsidR="006954AB">
        <w:t>?</w:t>
      </w:r>
    </w:p>
    <w:p w14:paraId="1FFB26BC" w14:textId="2C282C90" w:rsidR="0088132C" w:rsidRDefault="006954AB" w:rsidP="0088132C">
      <w:pPr>
        <w:ind w:firstLine="720"/>
        <w:jc w:val="both"/>
      </w:pPr>
      <w:r>
        <w:rPr>
          <w:u w:val="single"/>
        </w:rPr>
        <w:t>Answer</w:t>
      </w:r>
      <w:r>
        <w:t>:  Maybe</w:t>
      </w:r>
      <w:r w:rsidR="0088132C">
        <w:t>.</w:t>
      </w:r>
      <w:r>
        <w:t xml:space="preserve">  </w:t>
      </w:r>
      <w:r w:rsidR="0088132C">
        <w:t>Units of local government in North Carolina use Federal financial assistance to fund procurement costs in a wide variety of contexts.</w:t>
      </w:r>
      <w:r w:rsidR="0088132C">
        <w:rPr>
          <w:rStyle w:val="FootnoteReference"/>
        </w:rPr>
        <w:footnoteReference w:id="19"/>
      </w:r>
      <w:r w:rsidR="0088132C">
        <w:t xml:space="preserve">  </w:t>
      </w:r>
      <w:r w:rsidR="000863B4">
        <w:t>Many units</w:t>
      </w:r>
      <w:r w:rsidR="0088132C">
        <w:t xml:space="preserve"> have sought reimbursement from the Federal Emergency Management Agency’s (“FEMA”) Public Assistance Program for the costs of purchasing goods or services qualifying as “emergency protective measures</w:t>
      </w:r>
      <w:r w:rsidR="0075425A">
        <w:t>”.</w:t>
      </w:r>
      <w:r w:rsidR="0088132C">
        <w:t xml:space="preserve">  Other units have received grants or loans from, among other federal entities, the Environmental Protection Agency, the Department </w:t>
      </w:r>
      <w:r w:rsidR="0088132C">
        <w:lastRenderedPageBreak/>
        <w:t xml:space="preserve">of Agriculture, the Economic Development Administration, the Department of Housing and Urban Development, the Department of Justice, or the Federal Transit Administration.  </w:t>
      </w:r>
    </w:p>
    <w:p w14:paraId="6AB6CCE2" w14:textId="426D67F5" w:rsidR="000B02E7" w:rsidRDefault="0088132C" w:rsidP="0088132C">
      <w:pPr>
        <w:ind w:firstLine="720"/>
        <w:jc w:val="both"/>
      </w:pPr>
      <w:r>
        <w:t xml:space="preserve">The universe of federal laws and regulations potentially applicable to a unit of local government’s expenditures of Federal financial assistance </w:t>
      </w:r>
      <w:r w:rsidR="000B02E7">
        <w:t xml:space="preserve">from these agencies </w:t>
      </w:r>
      <w:r>
        <w:t xml:space="preserve">is massive.  </w:t>
      </w:r>
      <w:r w:rsidR="0075425A">
        <w:t>And d</w:t>
      </w:r>
      <w:r>
        <w:t>espite the promulgation of the Uniform Guidance, it is not the case that a uniform set of regulations governs the expenditure of all funds originating from a federal source.  Instead, as local government staff across North Carolina have learned in recent months, the rules applicable to</w:t>
      </w:r>
      <w:r w:rsidR="000B02E7">
        <w:t xml:space="preserve"> </w:t>
      </w:r>
      <w:r>
        <w:t>federal grants originate in a wide range of federal statutes, regulations, financial assistance agreements, and agency guidance.</w:t>
      </w:r>
      <w:r w:rsidR="007F7CD5">
        <w:t xml:space="preserve">  </w:t>
      </w:r>
      <w:r w:rsidR="00655C26">
        <w:t xml:space="preserve">And the rules that govern </w:t>
      </w:r>
      <w:r w:rsidR="00551D78">
        <w:t>other federal grant programs may not apply to the expenditure of Fiscal Recovery Funds.</w:t>
      </w:r>
      <w:r w:rsidR="003E129B">
        <w:t xml:space="preserve">  Units and counsel should consider rules applicable to Fiscal Recovery Funds</w:t>
      </w:r>
      <w:r w:rsidR="00924857">
        <w:t xml:space="preserve"> rather than those that may be applicable to other federal grant programs (e.g., FEMA Public Assistance</w:t>
      </w:r>
      <w:r w:rsidR="00F003DA">
        <w:t xml:space="preserve"> authorized under the Stafford Act</w:t>
      </w:r>
      <w:r w:rsidR="00E2639C">
        <w:t>, Pub. L. No. 93-288, as amended</w:t>
      </w:r>
      <w:r w:rsidR="00924857">
        <w:t>).</w:t>
      </w:r>
    </w:p>
    <w:p w14:paraId="61385F63" w14:textId="159472D3" w:rsidR="000B02E7" w:rsidRDefault="00551D78" w:rsidP="0088132C">
      <w:pPr>
        <w:ind w:firstLine="720"/>
        <w:jc w:val="both"/>
      </w:pPr>
      <w:r>
        <w:t xml:space="preserve">Units </w:t>
      </w:r>
      <w:r w:rsidR="00844E3E">
        <w:t xml:space="preserve">also </w:t>
      </w:r>
      <w:r>
        <w:t>should be aware that t</w:t>
      </w:r>
      <w:r w:rsidR="006E6D7C">
        <w:t xml:space="preserve">he </w:t>
      </w:r>
      <w:r w:rsidR="009E38DD">
        <w:t>OMB</w:t>
      </w:r>
      <w:r w:rsidR="006E6D7C">
        <w:t xml:space="preserve"> </w:t>
      </w:r>
      <w:r>
        <w:t>revised</w:t>
      </w:r>
      <w:r w:rsidR="006E6D7C">
        <w:t xml:space="preserve"> the Uniform Guidance in August 2020.</w:t>
      </w:r>
      <w:r w:rsidR="000C02C0">
        <w:rPr>
          <w:rStyle w:val="FootnoteReference"/>
        </w:rPr>
        <w:footnoteReference w:id="20"/>
      </w:r>
      <w:r w:rsidR="006E6D7C">
        <w:t xml:space="preserve">  </w:t>
      </w:r>
      <w:r w:rsidR="006023E8">
        <w:t xml:space="preserve">Among other things, those revisions resulted in the addition of two new required contract clauses.  The Addendum addresses these clauses in </w:t>
      </w:r>
      <w:r w:rsidR="006023E8" w:rsidRPr="009E38DD">
        <w:rPr>
          <w:u w:val="single"/>
        </w:rPr>
        <w:t>Section X</w:t>
      </w:r>
      <w:r w:rsidR="006023E8">
        <w:t xml:space="preserve"> and </w:t>
      </w:r>
      <w:r w:rsidR="006023E8" w:rsidRPr="009E38DD">
        <w:rPr>
          <w:u w:val="single"/>
        </w:rPr>
        <w:t>Section XI</w:t>
      </w:r>
      <w:r w:rsidR="006023E8">
        <w:t>.</w:t>
      </w:r>
    </w:p>
    <w:p w14:paraId="7B05CF15" w14:textId="6BC5EE0E" w:rsidR="000472F4" w:rsidRDefault="000472F4" w:rsidP="0088132C">
      <w:pPr>
        <w:ind w:firstLine="720"/>
        <w:jc w:val="both"/>
      </w:pPr>
      <w:r w:rsidRPr="007C05F0">
        <w:rPr>
          <w:i/>
          <w:iCs/>
          <w:u w:val="single"/>
        </w:rPr>
        <w:t>Question #</w:t>
      </w:r>
      <w:r>
        <w:rPr>
          <w:i/>
          <w:iCs/>
          <w:u w:val="single"/>
        </w:rPr>
        <w:t>10</w:t>
      </w:r>
      <w:r w:rsidRPr="000B02E7">
        <w:t>:</w:t>
      </w:r>
      <w:r>
        <w:t xml:space="preserve">  </w:t>
      </w:r>
      <w:r w:rsidR="003F5CD6">
        <w:t>Will these clauses be effective for the entirety of the period of performance for ARPA Fiscal Recovery Funds (i.e., through December 31, 2026)?</w:t>
      </w:r>
    </w:p>
    <w:p w14:paraId="41891ED8" w14:textId="132A1CE4" w:rsidR="009A1DD4" w:rsidRDefault="003F5CD6" w:rsidP="0088132C">
      <w:pPr>
        <w:ind w:firstLine="720"/>
        <w:jc w:val="both"/>
      </w:pPr>
      <w:r>
        <w:t xml:space="preserve">Maybe.  Units should remain cognizant that Treasury continues to </w:t>
      </w:r>
      <w:r w:rsidR="00AF2AF4">
        <w:t xml:space="preserve">release </w:t>
      </w:r>
      <w:r w:rsidR="00DA4161">
        <w:t xml:space="preserve">additional compliance guidance governing the expenditure of Fiscal Recovery </w:t>
      </w:r>
      <w:proofErr w:type="gramStart"/>
      <w:r w:rsidR="00DA4161">
        <w:t>Funds</w:t>
      </w:r>
      <w:r w:rsidR="00D31ED5">
        <w:t>, and</w:t>
      </w:r>
      <w:proofErr w:type="gramEnd"/>
      <w:r w:rsidR="00D31ED5">
        <w:t xml:space="preserve"> may modify </w:t>
      </w:r>
      <w:r w:rsidR="00186410">
        <w:t>or exclude</w:t>
      </w:r>
      <w:r w:rsidR="00D31ED5">
        <w:t xml:space="preserve"> certain contract clauses contained in the Model Addendum.</w:t>
      </w:r>
    </w:p>
    <w:p w14:paraId="34D5AE3D" w14:textId="6EC34F6A" w:rsidR="0022613D" w:rsidRPr="0022613D" w:rsidRDefault="0022613D" w:rsidP="00185C93">
      <w:pPr>
        <w:jc w:val="center"/>
      </w:pPr>
      <w:r w:rsidRPr="0022613D">
        <w:t>* * * * * * * * *</w:t>
      </w:r>
    </w:p>
    <w:p w14:paraId="2789C0C8" w14:textId="77777777" w:rsidR="00F31A7F" w:rsidRDefault="00F31A7F" w:rsidP="007247FB"/>
    <w:p w14:paraId="2325B357" w14:textId="3B0AC73A" w:rsidR="00F31A7F" w:rsidRDefault="00F31A7F" w:rsidP="006F1638">
      <w:pPr>
        <w:jc w:val="center"/>
        <w:sectPr w:rsidR="00F31A7F">
          <w:headerReference w:type="default" r:id="rId13"/>
          <w:footerReference w:type="default" r:id="rId14"/>
          <w:pgSz w:w="12240" w:h="15840"/>
          <w:pgMar w:top="1440" w:right="1440" w:bottom="1440" w:left="1440" w:header="720" w:footer="720" w:gutter="0"/>
          <w:cols w:space="720"/>
          <w:docGrid w:linePitch="360"/>
        </w:sectPr>
      </w:pPr>
    </w:p>
    <w:p w14:paraId="73030D0B" w14:textId="77777777" w:rsidR="00924857" w:rsidRDefault="00924857" w:rsidP="00B234A7">
      <w:pPr>
        <w:jc w:val="center"/>
        <w:rPr>
          <w:sz w:val="36"/>
          <w:szCs w:val="36"/>
        </w:rPr>
      </w:pPr>
    </w:p>
    <w:p w14:paraId="5C737FFF" w14:textId="77777777" w:rsidR="00924857" w:rsidRDefault="00924857" w:rsidP="00B234A7">
      <w:pPr>
        <w:jc w:val="center"/>
        <w:rPr>
          <w:sz w:val="36"/>
          <w:szCs w:val="36"/>
        </w:rPr>
      </w:pPr>
    </w:p>
    <w:p w14:paraId="06557B11" w14:textId="57185B4D" w:rsidR="00B234A7" w:rsidRPr="005F2B08" w:rsidRDefault="00B234A7" w:rsidP="00B234A7">
      <w:pPr>
        <w:jc w:val="center"/>
        <w:rPr>
          <w:sz w:val="36"/>
          <w:szCs w:val="36"/>
        </w:rPr>
      </w:pPr>
      <w:r w:rsidRPr="005F2B08">
        <w:rPr>
          <w:sz w:val="36"/>
          <w:szCs w:val="36"/>
        </w:rPr>
        <w:t>* * * * * * * * *</w:t>
      </w:r>
    </w:p>
    <w:p w14:paraId="2B142C8B" w14:textId="77777777" w:rsidR="005F2B08" w:rsidRPr="005F2B08" w:rsidRDefault="00B234A7" w:rsidP="00B234A7">
      <w:pPr>
        <w:jc w:val="center"/>
        <w:rPr>
          <w:b/>
          <w:bCs/>
          <w:color w:val="FF0000"/>
          <w:sz w:val="36"/>
          <w:szCs w:val="36"/>
          <w:u w:val="single"/>
        </w:rPr>
      </w:pPr>
      <w:r w:rsidRPr="005F2B08">
        <w:rPr>
          <w:b/>
          <w:bCs/>
          <w:color w:val="FF0000"/>
          <w:sz w:val="36"/>
          <w:szCs w:val="36"/>
          <w:u w:val="single"/>
        </w:rPr>
        <w:t>THE MODEL ADDENDUM IS AN EXPLANATORY TEMPLATE THAT SHOULD BE REVIEWED BY LEGAL COUNSEL PRIOR TO ITS USE</w:t>
      </w:r>
      <w:r w:rsidR="005F2B08" w:rsidRPr="005F2B08">
        <w:rPr>
          <w:b/>
          <w:bCs/>
          <w:color w:val="FF0000"/>
          <w:sz w:val="36"/>
          <w:szCs w:val="36"/>
          <w:u w:val="single"/>
        </w:rPr>
        <w:t xml:space="preserve">.  </w:t>
      </w:r>
    </w:p>
    <w:p w14:paraId="0145D960" w14:textId="77777777" w:rsidR="005F2B08" w:rsidRPr="005F2B08" w:rsidRDefault="005F2B08" w:rsidP="00B234A7">
      <w:pPr>
        <w:jc w:val="center"/>
        <w:rPr>
          <w:b/>
          <w:bCs/>
          <w:color w:val="FF0000"/>
          <w:sz w:val="36"/>
          <w:szCs w:val="36"/>
          <w:u w:val="single"/>
        </w:rPr>
      </w:pPr>
    </w:p>
    <w:p w14:paraId="134EFA28" w14:textId="79389B74" w:rsidR="00B234A7" w:rsidRPr="005F2B08" w:rsidRDefault="005F2B08" w:rsidP="005F2B08">
      <w:pPr>
        <w:jc w:val="center"/>
        <w:rPr>
          <w:b/>
          <w:bCs/>
          <w:color w:val="FF0000"/>
          <w:sz w:val="36"/>
          <w:szCs w:val="36"/>
          <w:u w:val="single"/>
        </w:rPr>
      </w:pPr>
      <w:r w:rsidRPr="005F2B08">
        <w:rPr>
          <w:b/>
          <w:bCs/>
          <w:color w:val="FF0000"/>
          <w:sz w:val="36"/>
          <w:szCs w:val="36"/>
          <w:u w:val="single"/>
        </w:rPr>
        <w:t xml:space="preserve">THE MODEL ADDENDUM </w:t>
      </w:r>
      <w:r w:rsidR="00B234A7" w:rsidRPr="005F2B08">
        <w:rPr>
          <w:b/>
          <w:bCs/>
          <w:color w:val="FF0000"/>
          <w:sz w:val="36"/>
          <w:szCs w:val="36"/>
          <w:u w:val="single"/>
        </w:rPr>
        <w:t>DOES NOT CONSTITUTE LEGAL ADVICE</w:t>
      </w:r>
      <w:r w:rsidRPr="005F2B08">
        <w:rPr>
          <w:b/>
          <w:bCs/>
          <w:color w:val="FF0000"/>
          <w:sz w:val="36"/>
          <w:szCs w:val="36"/>
          <w:u w:val="single"/>
        </w:rPr>
        <w:t>, NOR IS AN ATTORNEY-CLIENT RELATIONSHIP CREATED BY ITS USE</w:t>
      </w:r>
      <w:r w:rsidR="00B234A7" w:rsidRPr="005F2B08">
        <w:rPr>
          <w:b/>
          <w:bCs/>
          <w:color w:val="FF0000"/>
          <w:sz w:val="36"/>
          <w:szCs w:val="36"/>
          <w:u w:val="single"/>
        </w:rPr>
        <w:t>.</w:t>
      </w:r>
    </w:p>
    <w:p w14:paraId="40D6877D" w14:textId="77777777" w:rsidR="00610C06" w:rsidRPr="005F2B08" w:rsidRDefault="00610C06" w:rsidP="00B234A7">
      <w:pPr>
        <w:jc w:val="center"/>
        <w:rPr>
          <w:b/>
          <w:bCs/>
          <w:color w:val="FF0000"/>
          <w:sz w:val="36"/>
          <w:szCs w:val="36"/>
          <w:u w:val="single"/>
        </w:rPr>
      </w:pPr>
    </w:p>
    <w:p w14:paraId="349035A2" w14:textId="77777777" w:rsidR="00B234A7" w:rsidRPr="005F2B08" w:rsidRDefault="00B234A7" w:rsidP="00B234A7">
      <w:pPr>
        <w:jc w:val="center"/>
        <w:rPr>
          <w:b/>
          <w:bCs/>
          <w:color w:val="FF0000"/>
          <w:sz w:val="36"/>
          <w:szCs w:val="36"/>
          <w:u w:val="single"/>
        </w:rPr>
      </w:pPr>
      <w:r w:rsidRPr="005F2B08">
        <w:rPr>
          <w:b/>
          <w:bCs/>
          <w:color w:val="FF0000"/>
          <w:sz w:val="36"/>
          <w:szCs w:val="36"/>
          <w:u w:val="single"/>
        </w:rPr>
        <w:t>FOOTNOTES (LABELED “NOTE TO DRAFT”) SHOULD BE REMOVED PRIOR TO INCLUSION IN ANY CONTRACT.</w:t>
      </w:r>
    </w:p>
    <w:p w14:paraId="1B66552E" w14:textId="77777777" w:rsidR="00B234A7" w:rsidRPr="005F2B08" w:rsidRDefault="00B234A7" w:rsidP="00B234A7">
      <w:pPr>
        <w:jc w:val="center"/>
        <w:rPr>
          <w:b/>
          <w:bCs/>
          <w:color w:val="FF0000"/>
          <w:sz w:val="36"/>
          <w:szCs w:val="36"/>
          <w:u w:val="single"/>
        </w:rPr>
      </w:pPr>
    </w:p>
    <w:p w14:paraId="3FDE8A92" w14:textId="77777777" w:rsidR="00B234A7" w:rsidRPr="005F2B08" w:rsidRDefault="00B234A7" w:rsidP="00B234A7">
      <w:pPr>
        <w:jc w:val="center"/>
        <w:rPr>
          <w:b/>
          <w:bCs/>
          <w:color w:val="FF0000"/>
          <w:sz w:val="36"/>
          <w:szCs w:val="36"/>
          <w:u w:val="single"/>
        </w:rPr>
      </w:pPr>
      <w:r w:rsidRPr="005F2B08">
        <w:rPr>
          <w:b/>
          <w:bCs/>
          <w:color w:val="FF0000"/>
          <w:sz w:val="36"/>
          <w:szCs w:val="36"/>
          <w:u w:val="single"/>
        </w:rPr>
        <w:t>IF YOU HAVE ANY COMMENTS, PLEASE CONTACT CONNOR CREWS AT THE UNC SCHOOL OF GOVERNMENT</w:t>
      </w:r>
    </w:p>
    <w:p w14:paraId="5776DA1B" w14:textId="77777777" w:rsidR="00B234A7" w:rsidRPr="005F2B08" w:rsidRDefault="00B234A7" w:rsidP="00B234A7">
      <w:pPr>
        <w:jc w:val="center"/>
        <w:rPr>
          <w:b/>
          <w:bCs/>
          <w:color w:val="FF0000"/>
          <w:sz w:val="36"/>
          <w:szCs w:val="36"/>
          <w:u w:val="single"/>
        </w:rPr>
      </w:pPr>
      <w:r w:rsidRPr="005F2B08">
        <w:rPr>
          <w:b/>
          <w:bCs/>
          <w:color w:val="FF0000"/>
          <w:sz w:val="36"/>
          <w:szCs w:val="36"/>
          <w:u w:val="single"/>
        </w:rPr>
        <w:t>(</w:t>
      </w:r>
      <w:hyperlink r:id="rId15" w:history="1">
        <w:r w:rsidRPr="005F2B08">
          <w:rPr>
            <w:rStyle w:val="Hyperlink"/>
            <w:b/>
            <w:bCs/>
            <w:sz w:val="36"/>
            <w:szCs w:val="36"/>
          </w:rPr>
          <w:t>CCREWS@SOG.UNC.EDU</w:t>
        </w:r>
      </w:hyperlink>
      <w:r w:rsidRPr="005F2B08">
        <w:rPr>
          <w:b/>
          <w:bCs/>
          <w:color w:val="FF0000"/>
          <w:sz w:val="36"/>
          <w:szCs w:val="36"/>
          <w:u w:val="single"/>
        </w:rPr>
        <w:t xml:space="preserve">; 919-962-1575).  </w:t>
      </w:r>
    </w:p>
    <w:p w14:paraId="03EBC895" w14:textId="114E1E1D" w:rsidR="00B234A7" w:rsidRPr="005F2B08" w:rsidRDefault="00B234A7" w:rsidP="00610C06">
      <w:pPr>
        <w:jc w:val="center"/>
        <w:rPr>
          <w:sz w:val="36"/>
          <w:szCs w:val="36"/>
        </w:rPr>
      </w:pPr>
      <w:r w:rsidRPr="005F2B08">
        <w:rPr>
          <w:sz w:val="36"/>
          <w:szCs w:val="36"/>
        </w:rPr>
        <w:t>* * * * * * * * *</w:t>
      </w:r>
    </w:p>
    <w:p w14:paraId="4068011C" w14:textId="77777777" w:rsidR="00B234A7" w:rsidRDefault="00B234A7" w:rsidP="00922800">
      <w:pPr>
        <w:jc w:val="center"/>
        <w:rPr>
          <w:b/>
          <w:bCs/>
          <w:u w:val="single"/>
        </w:rPr>
      </w:pPr>
    </w:p>
    <w:p w14:paraId="107AF4A1" w14:textId="77777777" w:rsidR="00924857" w:rsidRDefault="00924857" w:rsidP="00922800">
      <w:pPr>
        <w:jc w:val="center"/>
        <w:rPr>
          <w:b/>
          <w:bCs/>
          <w:u w:val="single"/>
        </w:rPr>
      </w:pPr>
    </w:p>
    <w:p w14:paraId="31A90F5E" w14:textId="77777777" w:rsidR="00924857" w:rsidRDefault="00924857" w:rsidP="00922800">
      <w:pPr>
        <w:jc w:val="center"/>
        <w:rPr>
          <w:b/>
          <w:bCs/>
          <w:u w:val="single"/>
        </w:rPr>
      </w:pPr>
    </w:p>
    <w:p w14:paraId="39966BB3" w14:textId="58077890" w:rsidR="00924857" w:rsidRDefault="00924857" w:rsidP="00922800">
      <w:pPr>
        <w:jc w:val="center"/>
        <w:rPr>
          <w:b/>
          <w:bCs/>
          <w:u w:val="single"/>
        </w:rPr>
        <w:sectPr w:rsidR="00924857" w:rsidSect="00946F8A">
          <w:footerReference w:type="default" r:id="rId16"/>
          <w:pgSz w:w="12240" w:h="15840"/>
          <w:pgMar w:top="1440" w:right="1440" w:bottom="1440" w:left="1440" w:header="720" w:footer="720" w:gutter="0"/>
          <w:pgNumType w:start="1"/>
          <w:cols w:space="720"/>
          <w:docGrid w:linePitch="360"/>
        </w:sectPr>
      </w:pPr>
    </w:p>
    <w:p w14:paraId="4CAC46E4" w14:textId="07C7D94A" w:rsidR="00922800" w:rsidRPr="00922800" w:rsidRDefault="00922800" w:rsidP="00922800">
      <w:pPr>
        <w:jc w:val="center"/>
        <w:rPr>
          <w:b/>
          <w:bCs/>
          <w:u w:val="single"/>
        </w:rPr>
      </w:pPr>
      <w:r>
        <w:rPr>
          <w:b/>
          <w:bCs/>
          <w:u w:val="single"/>
        </w:rPr>
        <w:lastRenderedPageBreak/>
        <w:t>CORONAVIRUS STATE AND LOCAL FISCAL RECOVERY FUNDS ADDENDUM</w:t>
      </w:r>
    </w:p>
    <w:p w14:paraId="5EED14C8" w14:textId="1115376C" w:rsidR="00FA28F4" w:rsidRPr="00FA28F4" w:rsidRDefault="00FA28F4" w:rsidP="00C95EF7">
      <w:pPr>
        <w:ind w:firstLine="720"/>
        <w:jc w:val="both"/>
      </w:pPr>
      <w:r>
        <w:t xml:space="preserve">This </w:t>
      </w:r>
      <w:r>
        <w:rPr>
          <w:b/>
          <w:bCs/>
        </w:rPr>
        <w:t>CORONAVIRUS STATE AND LOCAL FISCAL RECOVERY FUNDS ADDENDUM</w:t>
      </w:r>
      <w:r>
        <w:rPr>
          <w:u w:val="single"/>
        </w:rPr>
        <w:t xml:space="preserve"> </w:t>
      </w:r>
      <w:r>
        <w:t xml:space="preserve">(this </w:t>
      </w:r>
      <w:r w:rsidR="00492A9B">
        <w:t>“</w:t>
      </w:r>
      <w:r>
        <w:rPr>
          <w:i/>
          <w:iCs/>
        </w:rPr>
        <w:t>Addendum</w:t>
      </w:r>
      <w:r w:rsidR="00492A9B">
        <w:t>”</w:t>
      </w:r>
      <w:r>
        <w:t>) is entered into</w:t>
      </w:r>
      <w:r w:rsidR="005649C5">
        <w:t xml:space="preserve"> </w:t>
      </w:r>
      <w:r>
        <w:t xml:space="preserve">by and between </w:t>
      </w:r>
      <w:r w:rsidRPr="00952227">
        <w:rPr>
          <w:u w:val="single"/>
        </w:rPr>
        <w:t>[_______________]</w:t>
      </w:r>
      <w:r w:rsidRPr="00EA69D6">
        <w:rPr>
          <w:rStyle w:val="FootnoteReference"/>
        </w:rPr>
        <w:footnoteReference w:id="21"/>
      </w:r>
      <w:r w:rsidR="0076119E" w:rsidRPr="00952227">
        <w:t>, a [_________________]</w:t>
      </w:r>
      <w:r w:rsidR="005649C5">
        <w:rPr>
          <w:rStyle w:val="FootnoteReference"/>
        </w:rPr>
        <w:footnoteReference w:id="22"/>
      </w:r>
      <w:r w:rsidR="00EA69D6">
        <w:t xml:space="preserve"> </w:t>
      </w:r>
      <w:r w:rsidR="00EA69D6" w:rsidRPr="00952227">
        <w:t>(</w:t>
      </w:r>
      <w:r w:rsidR="00EA69D6">
        <w:t>“</w:t>
      </w:r>
      <w:r w:rsidR="00EA69D6" w:rsidRPr="00952227">
        <w:rPr>
          <w:i/>
          <w:iCs/>
        </w:rPr>
        <w:t>Contractor</w:t>
      </w:r>
      <w:r w:rsidR="00EA69D6">
        <w:t>”</w:t>
      </w:r>
      <w:r w:rsidR="00EA69D6" w:rsidRPr="00952227">
        <w:t>)</w:t>
      </w:r>
      <w:r w:rsidR="00EA69D6">
        <w:t>,</w:t>
      </w:r>
      <w:r w:rsidRPr="00952227">
        <w:t xml:space="preserve"> and </w:t>
      </w:r>
      <w:r w:rsidRPr="00952227">
        <w:rPr>
          <w:u w:val="single"/>
        </w:rPr>
        <w:t>[_______________]</w:t>
      </w:r>
      <w:r w:rsidRPr="00EA69D6">
        <w:rPr>
          <w:rStyle w:val="FootnoteReference"/>
        </w:rPr>
        <w:footnoteReference w:id="23"/>
      </w:r>
      <w:r>
        <w:t>, a [_______________]</w:t>
      </w:r>
      <w:r w:rsidR="00066897">
        <w:rPr>
          <w:rStyle w:val="FootnoteReference"/>
        </w:rPr>
        <w:footnoteReference w:id="24"/>
      </w:r>
      <w:r w:rsidR="00864D0D">
        <w:t xml:space="preserve"> (“</w:t>
      </w:r>
      <w:r w:rsidR="00864D0D">
        <w:rPr>
          <w:i/>
          <w:iCs/>
        </w:rPr>
        <w:t>Unit</w:t>
      </w:r>
      <w:r w:rsidR="00864D0D">
        <w:t>”)</w:t>
      </w:r>
      <w:r w:rsidR="00F72E53">
        <w:t xml:space="preserve">, and forms an integral part of the Contract (as defined in </w:t>
      </w:r>
      <w:r w:rsidR="00F72E53" w:rsidRPr="001D506D">
        <w:rPr>
          <w:u w:val="single"/>
        </w:rPr>
        <w:t>Section I</w:t>
      </w:r>
      <w:r w:rsidR="00F72E53">
        <w:t xml:space="preserve"> hereof).</w:t>
      </w:r>
      <w:r w:rsidR="0065411E">
        <w:t xml:space="preserve">  </w:t>
      </w:r>
    </w:p>
    <w:p w14:paraId="49B1F30F" w14:textId="60F180FF" w:rsidR="00250E79" w:rsidRPr="00A976C8" w:rsidRDefault="00250E79" w:rsidP="00250E79">
      <w:pPr>
        <w:jc w:val="center"/>
        <w:rPr>
          <w:b/>
          <w:bCs/>
          <w:u w:val="single"/>
        </w:rPr>
      </w:pPr>
      <w:r w:rsidRPr="00A976C8">
        <w:rPr>
          <w:b/>
          <w:bCs/>
          <w:u w:val="single"/>
        </w:rPr>
        <w:t>RECITALS</w:t>
      </w:r>
    </w:p>
    <w:p w14:paraId="7461E0A9" w14:textId="3B225819" w:rsidR="00250E79" w:rsidRDefault="00250E79" w:rsidP="00C95EF7">
      <w:pPr>
        <w:ind w:firstLine="720"/>
        <w:jc w:val="both"/>
      </w:pPr>
      <w:r w:rsidRPr="00E1157B">
        <w:rPr>
          <w:b/>
          <w:bCs/>
        </w:rPr>
        <w:t>WHEREAS</w:t>
      </w:r>
      <w:r>
        <w:t xml:space="preserve">, </w:t>
      </w:r>
      <w:r w:rsidR="00482C28">
        <w:t xml:space="preserve">Unit </w:t>
      </w:r>
      <w:r w:rsidR="007025DE">
        <w:t xml:space="preserve">has received, either as a Recipient or Subrecipient (as each such term is defined in </w:t>
      </w:r>
      <w:r w:rsidR="007025DE" w:rsidRPr="001D506D">
        <w:rPr>
          <w:u w:val="single"/>
        </w:rPr>
        <w:t>Section I</w:t>
      </w:r>
      <w:r w:rsidR="007025DE">
        <w:t xml:space="preserve"> hereof)</w:t>
      </w:r>
      <w:r w:rsidR="00C8713C">
        <w:t xml:space="preserve"> </w:t>
      </w:r>
      <w:r w:rsidR="00280FC4">
        <w:t xml:space="preserve">a </w:t>
      </w:r>
      <w:r w:rsidR="002878CB">
        <w:t>payment</w:t>
      </w:r>
      <w:r w:rsidR="00C0138B">
        <w:t xml:space="preserve"> </w:t>
      </w:r>
      <w:r w:rsidR="008A2C0D">
        <w:t xml:space="preserve">from the </w:t>
      </w:r>
      <w:r w:rsidR="00C95EF7">
        <w:t xml:space="preserve">Coronavirus State </w:t>
      </w:r>
      <w:r w:rsidR="0094097E">
        <w:t xml:space="preserve">Fiscal </w:t>
      </w:r>
      <w:r w:rsidR="00C95EF7">
        <w:t>Recovery Fund</w:t>
      </w:r>
      <w:r w:rsidR="007C68B2">
        <w:t xml:space="preserve"> (</w:t>
      </w:r>
      <w:r w:rsidR="00492A9B">
        <w:t>“</w:t>
      </w:r>
      <w:r w:rsidR="0094097E" w:rsidRPr="00280FC4">
        <w:rPr>
          <w:i/>
          <w:iCs/>
        </w:rPr>
        <w:t>State Fiscal Recovery Fund</w:t>
      </w:r>
      <w:r w:rsidR="00492A9B">
        <w:t>”</w:t>
      </w:r>
      <w:r w:rsidR="007C68B2">
        <w:t>)</w:t>
      </w:r>
      <w:r w:rsidR="00C95EF7">
        <w:t xml:space="preserve"> </w:t>
      </w:r>
      <w:r w:rsidR="0094097E">
        <w:t>or Coro</w:t>
      </w:r>
      <w:r w:rsidR="00B24A6D">
        <w:t>navirus Local Fiscal Recovery Fund (</w:t>
      </w:r>
      <w:r w:rsidR="00492A9B">
        <w:t>“</w:t>
      </w:r>
      <w:r w:rsidR="00B24A6D" w:rsidRPr="00280FC4">
        <w:rPr>
          <w:i/>
          <w:iCs/>
        </w:rPr>
        <w:t>Local Fiscal Recovery Fun</w:t>
      </w:r>
      <w:r w:rsidR="00F9176A">
        <w:rPr>
          <w:i/>
          <w:iCs/>
        </w:rPr>
        <w:t>d</w:t>
      </w:r>
      <w:r w:rsidR="00492A9B">
        <w:t>”</w:t>
      </w:r>
      <w:r w:rsidR="00B24A6D">
        <w:t xml:space="preserve"> and, </w:t>
      </w:r>
      <w:r w:rsidR="00F9176A">
        <w:t>together</w:t>
      </w:r>
      <w:r w:rsidR="00B24A6D">
        <w:t xml:space="preserve"> with the State Fiscal Recovery Fund, the </w:t>
      </w:r>
      <w:r w:rsidR="00492A9B">
        <w:t>“</w:t>
      </w:r>
      <w:r w:rsidR="00B24A6D" w:rsidRPr="00280FC4">
        <w:rPr>
          <w:i/>
          <w:iCs/>
        </w:rPr>
        <w:t>Fiscal Recovery Fun</w:t>
      </w:r>
      <w:r w:rsidR="00280FC4">
        <w:rPr>
          <w:i/>
          <w:iCs/>
        </w:rPr>
        <w:t>d</w:t>
      </w:r>
      <w:r w:rsidR="008105C6">
        <w:rPr>
          <w:i/>
          <w:iCs/>
        </w:rPr>
        <w:t>s</w:t>
      </w:r>
      <w:r w:rsidR="00492A9B">
        <w:t>”</w:t>
      </w:r>
      <w:r w:rsidR="00B24A6D">
        <w:t xml:space="preserve">) </w:t>
      </w:r>
      <w:r w:rsidR="005A5EC2">
        <w:t>established pursuant to</w:t>
      </w:r>
      <w:r w:rsidR="00FA28F4">
        <w:t xml:space="preserve"> Section</w:t>
      </w:r>
      <w:r w:rsidR="00B24A6D">
        <w:t>s</w:t>
      </w:r>
      <w:r w:rsidR="00FA28F4">
        <w:t xml:space="preserve"> 602 </w:t>
      </w:r>
      <w:r w:rsidR="00B24A6D">
        <w:t>and</w:t>
      </w:r>
      <w:r w:rsidR="00FA28F4">
        <w:t xml:space="preserve"> 60</w:t>
      </w:r>
      <w:r w:rsidR="001658E4">
        <w:t>3</w:t>
      </w:r>
      <w:r w:rsidR="00F9176A">
        <w:t>, respectively,</w:t>
      </w:r>
      <w:r w:rsidR="00FA28F4">
        <w:t xml:space="preserve"> of </w:t>
      </w:r>
      <w:r w:rsidR="00040E9D">
        <w:t xml:space="preserve">the Social Security Act, as added by Section 9901 of the </w:t>
      </w:r>
      <w:r w:rsidR="00FA28F4">
        <w:t>American Rescue Plan Act of 2021</w:t>
      </w:r>
      <w:r w:rsidR="000E4C29">
        <w:t xml:space="preserve">, Pub. L. </w:t>
      </w:r>
      <w:r w:rsidR="00040E9D">
        <w:t xml:space="preserve">No. </w:t>
      </w:r>
      <w:r w:rsidR="000E4C29">
        <w:t>117-2</w:t>
      </w:r>
      <w:r w:rsidR="00545093">
        <w:t xml:space="preserve"> (</w:t>
      </w:r>
      <w:r w:rsidR="00EB6373">
        <w:t>“</w:t>
      </w:r>
      <w:r w:rsidR="00EB6373">
        <w:rPr>
          <w:i/>
          <w:iCs/>
        </w:rPr>
        <w:t>ARPA</w:t>
      </w:r>
      <w:r w:rsidR="00492A9B">
        <w:t>”</w:t>
      </w:r>
      <w:r w:rsidR="00545093">
        <w:t>)</w:t>
      </w:r>
      <w:r w:rsidR="00FA28F4">
        <w:t>; and</w:t>
      </w:r>
      <w:r>
        <w:t xml:space="preserve"> </w:t>
      </w:r>
    </w:p>
    <w:p w14:paraId="39031B30" w14:textId="2B299F7D" w:rsidR="0076119E" w:rsidRDefault="00250E79" w:rsidP="00C95EF7">
      <w:pPr>
        <w:ind w:firstLine="720"/>
        <w:jc w:val="both"/>
      </w:pPr>
      <w:r w:rsidRPr="00E1157B">
        <w:rPr>
          <w:b/>
          <w:bCs/>
        </w:rPr>
        <w:t>WHEREAS</w:t>
      </w:r>
      <w:r>
        <w:t>,</w:t>
      </w:r>
      <w:r w:rsidR="00C95EF7">
        <w:t xml:space="preserve"> </w:t>
      </w:r>
      <w:r w:rsidR="00FA28F4">
        <w:t xml:space="preserve">Unit intends </w:t>
      </w:r>
      <w:r w:rsidR="00C95EF7">
        <w:t>to pay</w:t>
      </w:r>
      <w:r w:rsidR="00380F3C">
        <w:t>, in part or in whole,</w:t>
      </w:r>
      <w:r w:rsidR="00C95EF7">
        <w:t xml:space="preserve"> for the cost of </w:t>
      </w:r>
      <w:r w:rsidR="005A5EC2">
        <w:t>the</w:t>
      </w:r>
      <w:r w:rsidR="00AB4414">
        <w:t xml:space="preserve"> Contrac</w:t>
      </w:r>
      <w:r w:rsidR="00FA28F4">
        <w:t>t</w:t>
      </w:r>
      <w:r w:rsidR="007C68B2">
        <w:t xml:space="preserve"> (as defined in </w:t>
      </w:r>
      <w:r w:rsidR="007C68B2" w:rsidRPr="001D506D">
        <w:rPr>
          <w:u w:val="single"/>
        </w:rPr>
        <w:t>Section I</w:t>
      </w:r>
      <w:r w:rsidR="007C68B2">
        <w:t xml:space="preserve"> hereof)</w:t>
      </w:r>
      <w:r w:rsidR="00FA28F4">
        <w:t xml:space="preserve"> using</w:t>
      </w:r>
      <w:r w:rsidR="00280FC4">
        <w:t xml:space="preserve"> monies received from the</w:t>
      </w:r>
      <w:r w:rsidR="00FA28F4">
        <w:t xml:space="preserve"> Fiscal Recovery Fund</w:t>
      </w:r>
      <w:r w:rsidR="008105C6">
        <w:t>s</w:t>
      </w:r>
      <w:r w:rsidR="0076119E">
        <w:t xml:space="preserve">; </w:t>
      </w:r>
      <w:r w:rsidR="00C0138B">
        <w:t>and</w:t>
      </w:r>
    </w:p>
    <w:p w14:paraId="4503F7E5" w14:textId="23F537DF" w:rsidR="00317435" w:rsidRDefault="0076119E" w:rsidP="00317435">
      <w:pPr>
        <w:ind w:firstLine="720"/>
        <w:jc w:val="both"/>
      </w:pPr>
      <w:r w:rsidRPr="00E1157B">
        <w:rPr>
          <w:b/>
          <w:bCs/>
        </w:rPr>
        <w:t>WHEREAS</w:t>
      </w:r>
      <w:r>
        <w:t xml:space="preserve">, </w:t>
      </w:r>
      <w:r w:rsidR="00280FC4">
        <w:t>in using</w:t>
      </w:r>
      <w:r w:rsidR="00C0138B">
        <w:t xml:space="preserve"> such</w:t>
      </w:r>
      <w:r w:rsidR="00280FC4">
        <w:t xml:space="preserve"> </w:t>
      </w:r>
      <w:r w:rsidR="00D65814">
        <w:t>funds</w:t>
      </w:r>
      <w:r w:rsidR="00280FC4">
        <w:t xml:space="preserve">, </w:t>
      </w:r>
      <w:r w:rsidR="000E4C29">
        <w:t>Unit</w:t>
      </w:r>
      <w:r w:rsidR="00280FC4">
        <w:t xml:space="preserve"> </w:t>
      </w:r>
      <w:r w:rsidR="00C0138B">
        <w:t xml:space="preserve">must </w:t>
      </w:r>
      <w:r w:rsidR="000E4C29">
        <w:t>comply with the</w:t>
      </w:r>
      <w:r w:rsidR="008A2C0D">
        <w:t xml:space="preserve"> terms of </w:t>
      </w:r>
      <w:r w:rsidR="00EB6373">
        <w:t>ARPA</w:t>
      </w:r>
      <w:r w:rsidR="008A2C0D">
        <w:t xml:space="preserve">, </w:t>
      </w:r>
      <w:r w:rsidR="009872C0">
        <w:t>regulations issued by the U.S. Department of the Treasury</w:t>
      </w:r>
      <w:r w:rsidR="00D47E54">
        <w:t xml:space="preserve"> </w:t>
      </w:r>
      <w:r w:rsidR="0080785A">
        <w:t>governing the expenditure of monies distributed from the Fiscal Recovery Funds</w:t>
      </w:r>
      <w:r w:rsidR="000E4C29">
        <w:t xml:space="preserve"> </w:t>
      </w:r>
      <w:r w:rsidR="00280FC4">
        <w:t xml:space="preserve">(including, without limitation, the </w:t>
      </w:r>
      <w:r w:rsidR="0075429F">
        <w:t>Interim Final Rule</w:t>
      </w:r>
      <w:r w:rsidR="00002202">
        <w:t xml:space="preserve"> (8</w:t>
      </w:r>
      <w:r w:rsidR="002A2EF6">
        <w:t>6 Fed. Reg. 26</w:t>
      </w:r>
      <w:r w:rsidR="0087745C">
        <w:t>,</w:t>
      </w:r>
      <w:r w:rsidR="002A2EF6">
        <w:t>786 (May 17, 2021)</w:t>
      </w:r>
      <w:r w:rsidR="0075429F">
        <w:t xml:space="preserve"> and Final Rule</w:t>
      </w:r>
      <w:r w:rsidR="002A2EF6">
        <w:t xml:space="preserve"> (</w:t>
      </w:r>
      <w:r w:rsidR="0087745C" w:rsidRPr="0087745C">
        <w:t>87 Fed. Reg. 4,338</w:t>
      </w:r>
      <w:r w:rsidR="0087745C">
        <w:t xml:space="preserve"> (Jan. 27, 2022</w:t>
      </w:r>
      <w:r w:rsidR="0075429F">
        <w:t>)</w:t>
      </w:r>
      <w:r w:rsidR="00992A10">
        <w:t>)</w:t>
      </w:r>
      <w:r w:rsidR="0075429F">
        <w:t xml:space="preserve">, </w:t>
      </w:r>
      <w:r w:rsidR="007A5E7D">
        <w:t xml:space="preserve">the </w:t>
      </w:r>
      <w:r w:rsidR="00C34699">
        <w:t>Award Terms and Conditions</w:t>
      </w:r>
      <w:r w:rsidR="00A726E3">
        <w:t xml:space="preserve"> </w:t>
      </w:r>
      <w:r w:rsidR="00D47E54">
        <w:t>applicable to the Fiscal Recovery Fund</w:t>
      </w:r>
      <w:r w:rsidR="008105C6">
        <w:t>s</w:t>
      </w:r>
      <w:r w:rsidR="00A726E3">
        <w:t>,</w:t>
      </w:r>
      <w:r w:rsidR="007A5E7D">
        <w:t xml:space="preserve"> </w:t>
      </w:r>
      <w:r w:rsidR="0075429F">
        <w:t>and</w:t>
      </w:r>
      <w:r w:rsidR="00C34699">
        <w:t xml:space="preserve"> such other guidance as the </w:t>
      </w:r>
      <w:r w:rsidR="00007EC0">
        <w:t xml:space="preserve">U.S. Department of the </w:t>
      </w:r>
      <w:r w:rsidR="00C34699">
        <w:t xml:space="preserve">Treasury </w:t>
      </w:r>
      <w:r w:rsidR="00EB6C8F">
        <w:t>has</w:t>
      </w:r>
      <w:r w:rsidR="00617AEE">
        <w:t xml:space="preserve"> issued</w:t>
      </w:r>
      <w:r w:rsidR="00EB6C8F">
        <w:t xml:space="preserve"> or may</w:t>
      </w:r>
      <w:r w:rsidR="00C34699">
        <w:t xml:space="preserve"> </w:t>
      </w:r>
      <w:r w:rsidR="00617AEE">
        <w:t xml:space="preserve">issue </w:t>
      </w:r>
      <w:r w:rsidR="00EB6C8F">
        <w:t>governing the expenditure of monies distributed from the Fiscal Recovery Funds</w:t>
      </w:r>
      <w:r w:rsidR="00992A10">
        <w:t xml:space="preserve"> (collectively, the </w:t>
      </w:r>
      <w:r w:rsidR="00492A9B">
        <w:t>“</w:t>
      </w:r>
      <w:r w:rsidR="00992A10" w:rsidRPr="00624233">
        <w:rPr>
          <w:i/>
          <w:iCs/>
        </w:rPr>
        <w:t>Regulatory Requirements</w:t>
      </w:r>
      <w:r w:rsidR="00492A9B">
        <w:t>”</w:t>
      </w:r>
      <w:r w:rsidR="00992A10">
        <w:t>)</w:t>
      </w:r>
      <w:r w:rsidR="0075429F">
        <w:t>; and</w:t>
      </w:r>
      <w:r w:rsidR="00317435">
        <w:t xml:space="preserve"> </w:t>
      </w:r>
    </w:p>
    <w:p w14:paraId="26DCFC85" w14:textId="6D22CBF5" w:rsidR="00250E79" w:rsidRDefault="00250E79" w:rsidP="00C95EF7">
      <w:pPr>
        <w:ind w:firstLine="720"/>
        <w:jc w:val="both"/>
      </w:pPr>
      <w:r w:rsidRPr="00E1157B">
        <w:rPr>
          <w:b/>
          <w:bCs/>
        </w:rPr>
        <w:t>WHEREAS</w:t>
      </w:r>
      <w:r w:rsidR="00317435">
        <w:t xml:space="preserve">, </w:t>
      </w:r>
      <w:r w:rsidR="008E08E1">
        <w:t xml:space="preserve">pursuant to </w:t>
      </w:r>
      <w:r w:rsidR="00992A10">
        <w:t>the</w:t>
      </w:r>
      <w:r w:rsidR="002B6FFA">
        <w:t xml:space="preserve"> </w:t>
      </w:r>
      <w:r w:rsidR="00992A10">
        <w:t>Regulatory Requirements, Unit</w:t>
      </w:r>
      <w:r w:rsidR="00317435">
        <w:t xml:space="preserve"> </w:t>
      </w:r>
      <w:r w:rsidR="00B771CB">
        <w:t xml:space="preserve">must </w:t>
      </w:r>
      <w:r w:rsidR="009F2CA1">
        <w:t xml:space="preserve">comply with the Uniform Administrative Requirements, Cost Principles, and Audit Requirements for Federal Awards, 2 C.F.R. Part 200, other than such provisions as Treasury </w:t>
      </w:r>
      <w:r w:rsidR="00617AEE">
        <w:t xml:space="preserve">has determined or </w:t>
      </w:r>
      <w:r w:rsidR="009F2CA1">
        <w:t xml:space="preserve">may </w:t>
      </w:r>
      <w:r w:rsidR="00BF6FDC">
        <w:t>determine are inapplicable to the Fiscal Recovery Funds</w:t>
      </w:r>
      <w:r w:rsidR="002B4B43">
        <w:t>; and</w:t>
      </w:r>
    </w:p>
    <w:p w14:paraId="2241C390" w14:textId="0F16A4AB" w:rsidR="00BF6FDC" w:rsidRDefault="00BF6FDC" w:rsidP="00C95EF7">
      <w:pPr>
        <w:ind w:firstLine="720"/>
        <w:jc w:val="both"/>
      </w:pPr>
      <w:r w:rsidRPr="00E1157B">
        <w:rPr>
          <w:b/>
          <w:bCs/>
        </w:rPr>
        <w:t>WHEREAS</w:t>
      </w:r>
      <w:r>
        <w:t xml:space="preserve">, </w:t>
      </w:r>
      <w:r w:rsidR="00E1157B">
        <w:t>pursuant to 2 C.F.R. § 200.327, Unit must i</w:t>
      </w:r>
      <w:r w:rsidR="00FA00D3">
        <w:t xml:space="preserve">nclude within the Contract applicable provisions described in </w:t>
      </w:r>
      <w:r w:rsidR="00F662E4">
        <w:t xml:space="preserve">Appendix II to </w:t>
      </w:r>
      <w:r w:rsidR="00FA00D3">
        <w:t>2 C.F.R. Part 200</w:t>
      </w:r>
      <w:r w:rsidR="007B291F">
        <w:t>, each of which is contained in this Addendum</w:t>
      </w:r>
      <w:r w:rsidR="00FA00D3">
        <w:t>; and</w:t>
      </w:r>
    </w:p>
    <w:p w14:paraId="3D705914" w14:textId="39065408" w:rsidR="00CF726D" w:rsidRDefault="00FA00D3" w:rsidP="00C95EF7">
      <w:pPr>
        <w:ind w:firstLine="720"/>
        <w:jc w:val="both"/>
      </w:pPr>
      <w:proofErr w:type="gramStart"/>
      <w:r w:rsidRPr="00E1157B">
        <w:rPr>
          <w:b/>
          <w:bCs/>
        </w:rPr>
        <w:t>WHEREAS</w:t>
      </w:r>
      <w:r>
        <w:t>,</w:t>
      </w:r>
      <w:proofErr w:type="gramEnd"/>
      <w:r>
        <w:t xml:space="preserve"> </w:t>
      </w:r>
      <w:r w:rsidR="002B4B43">
        <w:t xml:space="preserve">Unit </w:t>
      </w:r>
      <w:r w:rsidR="00D43189">
        <w:t>shall</w:t>
      </w:r>
      <w:r w:rsidR="002B4B43">
        <w:t xml:space="preserve"> not enter into the Contract</w:t>
      </w:r>
      <w:r w:rsidR="007B291F">
        <w:t xml:space="preserve"> or </w:t>
      </w:r>
      <w:r w:rsidR="00F662E4">
        <w:t>make any distributions of funds</w:t>
      </w:r>
      <w:r w:rsidR="007B291F">
        <w:t xml:space="preserve"> to Contractor</w:t>
      </w:r>
      <w:r w:rsidR="008105C6">
        <w:t xml:space="preserve"> using monies from the Fiscal Recovery Funds</w:t>
      </w:r>
      <w:r w:rsidR="002B4B43">
        <w:t xml:space="preserve"> absent Contractor</w:t>
      </w:r>
      <w:r w:rsidR="00492A9B">
        <w:t>’</w:t>
      </w:r>
      <w:r w:rsidR="002B4B43">
        <w:t xml:space="preserve">s agreement </w:t>
      </w:r>
      <w:r w:rsidR="00617AEE">
        <w:t xml:space="preserve">and adherence </w:t>
      </w:r>
      <w:r w:rsidR="002B4B43">
        <w:t>to each term and condition contained herein.</w:t>
      </w:r>
    </w:p>
    <w:p w14:paraId="55BE384E" w14:textId="359B65CA" w:rsidR="00FA28F4" w:rsidRDefault="00FA28F4" w:rsidP="00FA28F4">
      <w:pPr>
        <w:jc w:val="both"/>
      </w:pPr>
      <w:r>
        <w:tab/>
      </w:r>
      <w:r w:rsidRPr="008105C6">
        <w:rPr>
          <w:b/>
          <w:bCs/>
        </w:rPr>
        <w:t>NOW THEREFORE</w:t>
      </w:r>
      <w:r>
        <w:t>, Contractor and Unit do mutually agree as follows:</w:t>
      </w:r>
    </w:p>
    <w:p w14:paraId="259CCD3A" w14:textId="48DE176E" w:rsidR="00A976C8" w:rsidRPr="00A976C8" w:rsidRDefault="00A976C8" w:rsidP="00A976C8">
      <w:pPr>
        <w:jc w:val="center"/>
        <w:rPr>
          <w:b/>
          <w:bCs/>
          <w:u w:val="single"/>
        </w:rPr>
      </w:pPr>
      <w:r>
        <w:rPr>
          <w:b/>
          <w:bCs/>
          <w:u w:val="single"/>
        </w:rPr>
        <w:t>AGREEMENT</w:t>
      </w:r>
      <w:r w:rsidR="009913FA">
        <w:rPr>
          <w:b/>
          <w:bCs/>
          <w:u w:val="single"/>
        </w:rPr>
        <w:t>S</w:t>
      </w:r>
    </w:p>
    <w:p w14:paraId="3CB9635A" w14:textId="5AC41B76" w:rsidR="007350A8" w:rsidRPr="007350A8" w:rsidRDefault="007350A8" w:rsidP="00BB514B">
      <w:pPr>
        <w:pStyle w:val="ListParagraph"/>
        <w:numPr>
          <w:ilvl w:val="0"/>
          <w:numId w:val="2"/>
        </w:numPr>
        <w:jc w:val="both"/>
      </w:pPr>
      <w:r w:rsidRPr="0076119E">
        <w:rPr>
          <w:b/>
          <w:bCs/>
          <w:i/>
          <w:iCs/>
          <w:u w:val="single"/>
        </w:rPr>
        <w:t>Definitions</w:t>
      </w:r>
      <w:r>
        <w:t xml:space="preserve">.  </w:t>
      </w:r>
      <w:r w:rsidR="00094519">
        <w:t>Unless otherwise defined in this Addendum, c</w:t>
      </w:r>
      <w:r w:rsidR="00617AEE">
        <w:t>apitalized terms</w:t>
      </w:r>
      <w:r>
        <w:t xml:space="preserve"> used in this Addendum shall have the meanings ascribed thereto in this </w:t>
      </w:r>
      <w:r w:rsidRPr="001D506D">
        <w:rPr>
          <w:u w:val="single"/>
        </w:rPr>
        <w:t>Section I</w:t>
      </w:r>
      <w:r w:rsidR="00617AEE">
        <w:t>.</w:t>
      </w:r>
      <w:r>
        <w:t xml:space="preserve"> </w:t>
      </w:r>
    </w:p>
    <w:p w14:paraId="482D4D58" w14:textId="081EFE85" w:rsidR="00350A02" w:rsidRDefault="00492A9B" w:rsidP="007350A8">
      <w:pPr>
        <w:pStyle w:val="ListParagraph"/>
        <w:numPr>
          <w:ilvl w:val="1"/>
          <w:numId w:val="2"/>
        </w:numPr>
        <w:ind w:left="1080"/>
        <w:jc w:val="both"/>
      </w:pPr>
      <w:r>
        <w:lastRenderedPageBreak/>
        <w:t>“</w:t>
      </w:r>
      <w:r w:rsidR="00EB6373">
        <w:rPr>
          <w:i/>
          <w:iCs/>
        </w:rPr>
        <w:t>ARPA</w:t>
      </w:r>
      <w:r>
        <w:t>”</w:t>
      </w:r>
      <w:r w:rsidR="00350A02">
        <w:t xml:space="preserve"> </w:t>
      </w:r>
      <w:r w:rsidR="00743740">
        <w:t>shall mean</w:t>
      </w:r>
      <w:r w:rsidR="00350A02">
        <w:t xml:space="preserve"> the American Rescue Plan Act of 2021, Pub. L. No. 117-2, as amended.</w:t>
      </w:r>
    </w:p>
    <w:p w14:paraId="640AD238" w14:textId="77777777" w:rsidR="00350A02" w:rsidRDefault="00350A02" w:rsidP="00350A02">
      <w:pPr>
        <w:pStyle w:val="ListParagraph"/>
        <w:ind w:left="1080"/>
        <w:jc w:val="both"/>
      </w:pPr>
    </w:p>
    <w:p w14:paraId="19120972" w14:textId="6DB606AC" w:rsidR="00A60D1E" w:rsidRDefault="00492A9B" w:rsidP="007350A8">
      <w:pPr>
        <w:pStyle w:val="ListParagraph"/>
        <w:numPr>
          <w:ilvl w:val="1"/>
          <w:numId w:val="2"/>
        </w:numPr>
        <w:ind w:left="1080"/>
        <w:jc w:val="both"/>
      </w:pPr>
      <w:r>
        <w:t>“</w:t>
      </w:r>
      <w:r w:rsidR="00A60D1E">
        <w:rPr>
          <w:i/>
          <w:iCs/>
        </w:rPr>
        <w:t>Administering Agency</w:t>
      </w:r>
      <w:r>
        <w:t>”</w:t>
      </w:r>
      <w:r w:rsidR="00A60D1E">
        <w:t xml:space="preserve"> shall have the meaning specified in 4</w:t>
      </w:r>
      <w:r w:rsidR="00EC5BEE">
        <w:t>1</w:t>
      </w:r>
      <w:r w:rsidR="00A60D1E">
        <w:t xml:space="preserve"> C.F.R. § 60-1.3.</w:t>
      </w:r>
    </w:p>
    <w:p w14:paraId="18142EC7" w14:textId="77777777" w:rsidR="00A60D1E" w:rsidRDefault="00A60D1E" w:rsidP="00A60D1E">
      <w:pPr>
        <w:pStyle w:val="ListParagraph"/>
        <w:ind w:left="1080"/>
        <w:jc w:val="both"/>
      </w:pPr>
    </w:p>
    <w:p w14:paraId="6E924218" w14:textId="65E66548" w:rsidR="00F921A1" w:rsidRDefault="00492A9B" w:rsidP="007350A8">
      <w:pPr>
        <w:pStyle w:val="ListParagraph"/>
        <w:numPr>
          <w:ilvl w:val="1"/>
          <w:numId w:val="2"/>
        </w:numPr>
        <w:ind w:left="1080"/>
        <w:jc w:val="both"/>
      </w:pPr>
      <w:r>
        <w:t>“</w:t>
      </w:r>
      <w:r w:rsidR="00F921A1">
        <w:rPr>
          <w:i/>
          <w:iCs/>
        </w:rPr>
        <w:t>Applicant</w:t>
      </w:r>
      <w:r>
        <w:t>”</w:t>
      </w:r>
      <w:r w:rsidR="00F921A1">
        <w:t xml:space="preserve"> </w:t>
      </w:r>
      <w:r w:rsidR="00743740">
        <w:t xml:space="preserve">shall </w:t>
      </w:r>
      <w:r w:rsidR="003846C6">
        <w:t>have the meaning specified in 4</w:t>
      </w:r>
      <w:r w:rsidR="00EC5BEE">
        <w:t>1</w:t>
      </w:r>
      <w:r w:rsidR="003846C6">
        <w:t xml:space="preserve"> C.F.R. § 60-1.3, which is provided here for ease of reference: (</w:t>
      </w:r>
      <w:r>
        <w:t>“</w:t>
      </w:r>
      <w:r w:rsidR="003846C6">
        <w:t>A</w:t>
      </w:r>
      <w:r w:rsidR="00F921A1">
        <w:t xml:space="preserve">n applicant for Federal assistance involving </w:t>
      </w:r>
      <w:r w:rsidR="001951BE">
        <w:t xml:space="preserve">a construction contract, or other participant </w:t>
      </w:r>
      <w:r w:rsidR="00D9104B">
        <w:t>in a program involving a construction contract as determined by regulation of an administering agency.  The term also includes such persons after they become recipients of such Federal assistance.</w:t>
      </w:r>
      <w:r>
        <w:t>”</w:t>
      </w:r>
      <w:r w:rsidR="003846C6">
        <w:t>).</w:t>
      </w:r>
    </w:p>
    <w:p w14:paraId="6FB360ED" w14:textId="77777777" w:rsidR="00F921A1" w:rsidRDefault="00F921A1" w:rsidP="00F921A1">
      <w:pPr>
        <w:pStyle w:val="ListParagraph"/>
        <w:ind w:left="1080"/>
        <w:jc w:val="both"/>
      </w:pPr>
    </w:p>
    <w:p w14:paraId="61629CEC" w14:textId="386A4796" w:rsidR="00702C87" w:rsidRDefault="00492A9B" w:rsidP="007350A8">
      <w:pPr>
        <w:pStyle w:val="ListParagraph"/>
        <w:numPr>
          <w:ilvl w:val="1"/>
          <w:numId w:val="2"/>
        </w:numPr>
        <w:ind w:left="1080"/>
        <w:jc w:val="both"/>
      </w:pPr>
      <w:r>
        <w:t>“</w:t>
      </w:r>
      <w:r w:rsidR="00702C87">
        <w:rPr>
          <w:i/>
          <w:iCs/>
        </w:rPr>
        <w:t xml:space="preserve">Construction </w:t>
      </w:r>
      <w:r w:rsidR="00CE0428">
        <w:rPr>
          <w:i/>
          <w:iCs/>
        </w:rPr>
        <w:t>Work</w:t>
      </w:r>
      <w:r>
        <w:t>”</w:t>
      </w:r>
      <w:r w:rsidR="00CE0428">
        <w:t xml:space="preserve"> </w:t>
      </w:r>
      <w:r w:rsidR="004221FA">
        <w:t>shall have the meaning specified in 4</w:t>
      </w:r>
      <w:r w:rsidR="00EC5BEE">
        <w:t>1</w:t>
      </w:r>
      <w:r w:rsidR="004221FA">
        <w:t xml:space="preserve"> C.F.R. § 60-1.3, which is provided here for ease of reference: </w:t>
      </w:r>
      <w:r w:rsidR="00743740">
        <w:t>(</w:t>
      </w:r>
      <w:r>
        <w:t>“</w:t>
      </w:r>
      <w:r w:rsidR="00743740">
        <w:t>[T]</w:t>
      </w:r>
      <w:r w:rsidR="00CE0428">
        <w:t xml:space="preserve">he </w:t>
      </w:r>
      <w:r w:rsidR="00BB731F">
        <w:t>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r>
        <w:t>”</w:t>
      </w:r>
      <w:r w:rsidR="00743740">
        <w:t>).</w:t>
      </w:r>
      <w:r w:rsidR="00BB731F">
        <w:rPr>
          <w:i/>
          <w:iCs/>
        </w:rPr>
        <w:t xml:space="preserve"> </w:t>
      </w:r>
    </w:p>
    <w:p w14:paraId="4BA88D3B" w14:textId="77777777" w:rsidR="00702C87" w:rsidRDefault="00702C87" w:rsidP="00702C87">
      <w:pPr>
        <w:pStyle w:val="ListParagraph"/>
        <w:ind w:left="1080"/>
        <w:jc w:val="both"/>
      </w:pPr>
    </w:p>
    <w:p w14:paraId="25507917" w14:textId="34AD9BC4" w:rsidR="007350A8" w:rsidRDefault="00492A9B" w:rsidP="007350A8">
      <w:pPr>
        <w:pStyle w:val="ListParagraph"/>
        <w:numPr>
          <w:ilvl w:val="1"/>
          <w:numId w:val="2"/>
        </w:numPr>
        <w:ind w:left="1080"/>
        <w:jc w:val="both"/>
      </w:pPr>
      <w:r>
        <w:t>“</w:t>
      </w:r>
      <w:r w:rsidR="007B18F3" w:rsidRPr="009B4288">
        <w:rPr>
          <w:i/>
          <w:iCs/>
        </w:rPr>
        <w:t>Contract</w:t>
      </w:r>
      <w:r>
        <w:t>”</w:t>
      </w:r>
      <w:r w:rsidR="007B18F3">
        <w:t xml:space="preserve"> </w:t>
      </w:r>
      <w:r w:rsidR="00743740">
        <w:t xml:space="preserve">shall mean </w:t>
      </w:r>
      <w:r w:rsidR="0031338B">
        <w:t xml:space="preserve">the legal instrument by which Unit, as a Recipient or Subrecipient, </w:t>
      </w:r>
      <w:r w:rsidR="009B4288">
        <w:t xml:space="preserve">shall purchase </w:t>
      </w:r>
      <w:r w:rsidR="008105C6">
        <w:t xml:space="preserve">from Contractor </w:t>
      </w:r>
      <w:r w:rsidR="009B4288">
        <w:t>property or services</w:t>
      </w:r>
      <w:r w:rsidR="008105C6">
        <w:t xml:space="preserve"> </w:t>
      </w:r>
      <w:r w:rsidR="009B4288">
        <w:t>needed to carry out a project or program under a Federal awar</w:t>
      </w:r>
      <w:r w:rsidR="00245C60">
        <w:t>d, and of which this Addendum shall constitute an integral part.</w:t>
      </w:r>
    </w:p>
    <w:p w14:paraId="14275839" w14:textId="77777777" w:rsidR="009B4288" w:rsidRDefault="009B4288" w:rsidP="009B4288">
      <w:pPr>
        <w:pStyle w:val="ListParagraph"/>
        <w:ind w:left="1080"/>
        <w:jc w:val="both"/>
      </w:pPr>
    </w:p>
    <w:p w14:paraId="6DB1B3C2" w14:textId="302BA1D7" w:rsidR="009B4288" w:rsidRDefault="00492A9B" w:rsidP="007350A8">
      <w:pPr>
        <w:pStyle w:val="ListParagraph"/>
        <w:numPr>
          <w:ilvl w:val="1"/>
          <w:numId w:val="2"/>
        </w:numPr>
        <w:ind w:left="1080"/>
        <w:jc w:val="both"/>
      </w:pPr>
      <w:r>
        <w:t>“</w:t>
      </w:r>
      <w:r w:rsidR="00B42B01">
        <w:rPr>
          <w:i/>
          <w:iCs/>
        </w:rPr>
        <w:t>Contractor</w:t>
      </w:r>
      <w:r>
        <w:t>”</w:t>
      </w:r>
      <w:r w:rsidR="00C915A6">
        <w:t xml:space="preserve"> </w:t>
      </w:r>
      <w:r w:rsidR="00743740">
        <w:t xml:space="preserve">shall mean </w:t>
      </w:r>
      <w:r w:rsidR="00F4406E">
        <w:t xml:space="preserve">the entity named as </w:t>
      </w:r>
      <w:r>
        <w:t>“</w:t>
      </w:r>
      <w:r w:rsidR="00F4406E">
        <w:t>Contractor</w:t>
      </w:r>
      <w:r>
        <w:t>”</w:t>
      </w:r>
      <w:r w:rsidR="00F4406E">
        <w:t xml:space="preserve"> in this Addendum that has received a Contract from Unit</w:t>
      </w:r>
      <w:r w:rsidR="008E7D1A">
        <w:t>.</w:t>
      </w:r>
    </w:p>
    <w:p w14:paraId="5F01880B" w14:textId="77777777" w:rsidR="00C915A6" w:rsidRDefault="00C915A6" w:rsidP="00C915A6">
      <w:pPr>
        <w:pStyle w:val="ListParagraph"/>
        <w:ind w:left="1080"/>
        <w:jc w:val="both"/>
      </w:pPr>
    </w:p>
    <w:p w14:paraId="383AD4C0" w14:textId="6FD0D6B9" w:rsidR="00A36BF5" w:rsidRPr="00BB731F" w:rsidRDefault="00492A9B" w:rsidP="00C8713C">
      <w:pPr>
        <w:pStyle w:val="ListParagraph"/>
        <w:numPr>
          <w:ilvl w:val="1"/>
          <w:numId w:val="2"/>
        </w:numPr>
        <w:ind w:left="1080"/>
        <w:jc w:val="both"/>
      </w:pPr>
      <w:r>
        <w:t>“</w:t>
      </w:r>
      <w:r w:rsidR="00A36BF5" w:rsidRPr="00BB731F">
        <w:rPr>
          <w:i/>
          <w:iCs/>
        </w:rPr>
        <w:t>Federally Assisted Construction Contract</w:t>
      </w:r>
      <w:r>
        <w:t>”</w:t>
      </w:r>
      <w:r w:rsidR="00A36BF5" w:rsidRPr="00BB731F">
        <w:t xml:space="preserve"> </w:t>
      </w:r>
      <w:r w:rsidR="001413C8">
        <w:t xml:space="preserve">shall have the meaning specified in </w:t>
      </w:r>
      <w:r w:rsidR="00A45A86">
        <w:t>4</w:t>
      </w:r>
      <w:r w:rsidR="00EC5BEE">
        <w:t>1</w:t>
      </w:r>
      <w:r w:rsidR="00A45A86">
        <w:t xml:space="preserve"> C.F.R. § 60-1.3</w:t>
      </w:r>
      <w:r w:rsidR="001413C8">
        <w:t xml:space="preserve">, which is </w:t>
      </w:r>
      <w:r w:rsidR="00720D63">
        <w:t>provided</w:t>
      </w:r>
      <w:r w:rsidR="004221FA">
        <w:t xml:space="preserve"> here</w:t>
      </w:r>
      <w:r w:rsidR="001413C8">
        <w:t xml:space="preserve"> </w:t>
      </w:r>
      <w:r w:rsidR="00720D63">
        <w:t>for eas</w:t>
      </w:r>
      <w:r w:rsidR="00571D69">
        <w:t>e</w:t>
      </w:r>
      <w:r w:rsidR="00720D63">
        <w:t xml:space="preserve"> of reference</w:t>
      </w:r>
      <w:r w:rsidR="00571D69">
        <w:t>:</w:t>
      </w:r>
      <w:r w:rsidR="00200A3F" w:rsidRPr="00BB731F">
        <w:t xml:space="preserve"> </w:t>
      </w:r>
      <w:r w:rsidR="00571D69">
        <w:t>(</w:t>
      </w:r>
      <w:r>
        <w:t>“</w:t>
      </w:r>
      <w:r w:rsidR="00571D69">
        <w:t>[A]</w:t>
      </w:r>
      <w:proofErr w:type="spellStart"/>
      <w:r w:rsidR="00FA35E3" w:rsidRPr="00BB731F">
        <w:t>ny</w:t>
      </w:r>
      <w:proofErr w:type="spellEnd"/>
      <w:r w:rsidR="00FA35E3" w:rsidRPr="00BB731F">
        <w:t xml:space="preserve"> agreement or modification thereof between any applicant and a person for construction work which is paid for in whole or in part with funds obtained from the </w:t>
      </w:r>
      <w:r w:rsidR="00571D69">
        <w:t>Government</w:t>
      </w:r>
      <w:r w:rsidR="00FA35E3" w:rsidRPr="00BB731F">
        <w:t xml:space="preserve"> or borrowed on the credit of the </w:t>
      </w:r>
      <w:r w:rsidR="00571D69">
        <w:t>Government</w:t>
      </w:r>
      <w:r w:rsidR="00BB731F" w:rsidRPr="00BB731F">
        <w:t xml:space="preserve"> </w:t>
      </w:r>
      <w:r w:rsidR="00FA35E3" w:rsidRPr="00BB731F">
        <w:t xml:space="preserve">pursuant to any Federal program involving a grant, contract, loan, insurance, or guarantee, or undertaken pursuant to any Federal program involving such grant, contract, loan, insurance, or guarantee, or any application or modification thereof approved by the </w:t>
      </w:r>
      <w:r w:rsidR="00BB731F" w:rsidRPr="00BB731F">
        <w:t xml:space="preserve">government of the United States of America </w:t>
      </w:r>
      <w:r w:rsidR="00FA35E3" w:rsidRPr="00BB731F">
        <w:t>for a grant, contract, loan, insurance, or guarantee under which the applicant itself participates in the construction work.</w:t>
      </w:r>
      <w:r w:rsidR="003C6CA4">
        <w:t>.</w:t>
      </w:r>
      <w:r>
        <w:t>”</w:t>
      </w:r>
      <w:r w:rsidR="003C6CA4">
        <w:t>).</w:t>
      </w:r>
    </w:p>
    <w:p w14:paraId="66D2F210" w14:textId="77777777" w:rsidR="00A36BF5" w:rsidRDefault="00A36BF5" w:rsidP="00A36BF5">
      <w:pPr>
        <w:pStyle w:val="ListParagraph"/>
        <w:ind w:left="1080"/>
        <w:jc w:val="both"/>
      </w:pPr>
    </w:p>
    <w:p w14:paraId="2E7FC878" w14:textId="2337B83A" w:rsidR="003F3454" w:rsidRDefault="0065416B" w:rsidP="003F3454">
      <w:pPr>
        <w:pStyle w:val="ListParagraph"/>
        <w:numPr>
          <w:ilvl w:val="1"/>
          <w:numId w:val="2"/>
        </w:numPr>
        <w:ind w:left="1080"/>
        <w:jc w:val="both"/>
      </w:pPr>
      <w:r>
        <w:t>“</w:t>
      </w:r>
      <w:r>
        <w:rPr>
          <w:i/>
          <w:iCs/>
        </w:rPr>
        <w:t>Government</w:t>
      </w:r>
      <w:r>
        <w:t xml:space="preserve">” </w:t>
      </w:r>
      <w:r w:rsidR="00630CE0">
        <w:t>shall have the meaning</w:t>
      </w:r>
      <w:r w:rsidR="002A16C2">
        <w:t xml:space="preserve"> specified in 4</w:t>
      </w:r>
      <w:r w:rsidR="00EC5BEE">
        <w:t>1</w:t>
      </w:r>
      <w:r w:rsidR="002A16C2">
        <w:t xml:space="preserve"> C.F.R. § 60-1.3, which is provided here for ease of reference: (“[T]he government of the United States of America.”).</w:t>
      </w:r>
    </w:p>
    <w:p w14:paraId="1A4F7879" w14:textId="77777777" w:rsidR="003F3454" w:rsidRDefault="003F3454" w:rsidP="003F3454">
      <w:pPr>
        <w:pStyle w:val="ListParagraph"/>
        <w:ind w:left="1080"/>
        <w:jc w:val="both"/>
      </w:pPr>
    </w:p>
    <w:p w14:paraId="49F055E5" w14:textId="0428416E" w:rsidR="004C2FD6" w:rsidRDefault="004C2FD6" w:rsidP="003F3454">
      <w:pPr>
        <w:pStyle w:val="ListParagraph"/>
        <w:numPr>
          <w:ilvl w:val="1"/>
          <w:numId w:val="2"/>
        </w:numPr>
        <w:ind w:left="1080"/>
        <w:jc w:val="both"/>
      </w:pPr>
      <w:r>
        <w:t>“</w:t>
      </w:r>
      <w:r w:rsidRPr="1BCF4D92">
        <w:rPr>
          <w:i/>
          <w:iCs/>
        </w:rPr>
        <w:t>Laborer</w:t>
      </w:r>
      <w:r>
        <w:t>” or “</w:t>
      </w:r>
      <w:r w:rsidRPr="1BCF4D92">
        <w:rPr>
          <w:i/>
          <w:iCs/>
        </w:rPr>
        <w:t>Mechanic</w:t>
      </w:r>
      <w:r>
        <w:t xml:space="preserve">” shall have the meaning specified in 29 C.F.R. </w:t>
      </w:r>
      <w:r w:rsidR="007369B0">
        <w:t>§ 5.</w:t>
      </w:r>
      <w:r w:rsidR="00A94BF8">
        <w:t>2</w:t>
      </w:r>
      <w:r w:rsidR="007369B0">
        <w:t>(m), which is provided here for ease of reference (“The term laborer or mechanic includes at least those workers</w:t>
      </w:r>
      <w:r w:rsidR="00A26BDF">
        <w:t xml:space="preserve"> </w:t>
      </w:r>
      <w:r w:rsidR="00FB17DC">
        <w:t xml:space="preserve">duties are manual or physical in nature (including those workers who use tools or who are performing the work of a trade), as distinguished from mental or managerial. The term laborer or mechanic includes apprentices, trainees, helpers, and, in the case of contracts subject to the Contract Work Hours and Safety Standards Act, watchmen or guards. The term does not apply to workers whose duties are primarily administrative, executive, or clerical, rather than manual. Persons employed in a bona fide executive, administrative, or professional capacity as defined in part 541 of </w:t>
      </w:r>
      <w:r w:rsidR="0019614C">
        <w:t>[Title 40 of the U</w:t>
      </w:r>
      <w:r w:rsidR="00764355">
        <w:t>nited States</w:t>
      </w:r>
      <w:r w:rsidR="0019614C">
        <w:t xml:space="preserve"> Code]</w:t>
      </w:r>
      <w:r w:rsidR="00FB17DC">
        <w:t xml:space="preserve"> are not deemed to be laborers or mechanics. Working foremen who devote more than 20 percent of their time during a </w:t>
      </w:r>
      <w:r w:rsidR="00FB17DC">
        <w:lastRenderedPageBreak/>
        <w:t xml:space="preserve">workweek to mechanic or laborer duties, and who do not meet the criteria of </w:t>
      </w:r>
      <w:r w:rsidR="00764355">
        <w:t>[Title 40 of the United States Code]</w:t>
      </w:r>
      <w:r w:rsidR="00FB17DC">
        <w:t>, are laborers and mechanics for the time so spent.”).</w:t>
      </w:r>
    </w:p>
    <w:p w14:paraId="64A44DF4" w14:textId="77777777" w:rsidR="004C2FD6" w:rsidRDefault="004C2FD6" w:rsidP="004C2FD6">
      <w:pPr>
        <w:pStyle w:val="ListParagraph"/>
        <w:ind w:left="1080"/>
        <w:jc w:val="both"/>
      </w:pPr>
    </w:p>
    <w:p w14:paraId="20E46C43" w14:textId="241C16D2" w:rsidR="00C915A6" w:rsidRDefault="00492A9B" w:rsidP="00C8713C">
      <w:pPr>
        <w:pStyle w:val="ListParagraph"/>
        <w:numPr>
          <w:ilvl w:val="1"/>
          <w:numId w:val="2"/>
        </w:numPr>
        <w:ind w:left="1080"/>
        <w:jc w:val="both"/>
      </w:pPr>
      <w:r>
        <w:t>“</w:t>
      </w:r>
      <w:r w:rsidR="00500F21" w:rsidRPr="00C8713C">
        <w:rPr>
          <w:i/>
          <w:iCs/>
        </w:rPr>
        <w:t>Recipient</w:t>
      </w:r>
      <w:r>
        <w:t>”</w:t>
      </w:r>
      <w:r w:rsidR="00500F21">
        <w:t xml:space="preserve"> </w:t>
      </w:r>
      <w:r w:rsidR="00743740">
        <w:t xml:space="preserve">shall mean </w:t>
      </w:r>
      <w:r w:rsidR="00500F21">
        <w:t>an entity that receives a Federal award directly from a Federal awarding agency.  The term does not include subrecipients or individuals that are beneficiaries of an award.</w:t>
      </w:r>
    </w:p>
    <w:p w14:paraId="51EA5EC1" w14:textId="77777777" w:rsidR="00C8713C" w:rsidRDefault="00C8713C" w:rsidP="00C8713C">
      <w:pPr>
        <w:pStyle w:val="ListParagraph"/>
        <w:ind w:left="1080"/>
        <w:jc w:val="both"/>
      </w:pPr>
    </w:p>
    <w:p w14:paraId="4D54AC7C" w14:textId="2127FAA7" w:rsidR="008E7D1A" w:rsidRDefault="00492A9B" w:rsidP="008E7D1A">
      <w:pPr>
        <w:pStyle w:val="ListParagraph"/>
        <w:numPr>
          <w:ilvl w:val="1"/>
          <w:numId w:val="2"/>
        </w:numPr>
        <w:ind w:left="1080"/>
        <w:jc w:val="both"/>
      </w:pPr>
      <w:r>
        <w:t>“</w:t>
      </w:r>
      <w:r w:rsidR="00FA6134">
        <w:rPr>
          <w:i/>
          <w:iCs/>
        </w:rPr>
        <w:t>Subcontract</w:t>
      </w:r>
      <w:r>
        <w:t>”</w:t>
      </w:r>
      <w:r w:rsidR="00FA6134">
        <w:t xml:space="preserve"> </w:t>
      </w:r>
      <w:r w:rsidR="00743740">
        <w:t xml:space="preserve">shall mean </w:t>
      </w:r>
      <w:r w:rsidR="00FA6134">
        <w:t xml:space="preserve">any </w:t>
      </w:r>
      <w:r w:rsidR="006C28C1">
        <w:t>agreement</w:t>
      </w:r>
      <w:r w:rsidR="00FA6134">
        <w:t xml:space="preserve"> </w:t>
      </w:r>
      <w:proofErr w:type="gramStart"/>
      <w:r w:rsidR="00FA6134">
        <w:t>entered into</w:t>
      </w:r>
      <w:proofErr w:type="gramEnd"/>
      <w:r w:rsidR="00FA6134">
        <w:t xml:space="preserve"> by </w:t>
      </w:r>
      <w:r w:rsidR="00415B17">
        <w:t xml:space="preserve">a Subcontractor </w:t>
      </w:r>
      <w:r w:rsidR="00FA6134">
        <w:t xml:space="preserve">to furnish supplies or services for </w:t>
      </w:r>
      <w:r w:rsidR="006C28C1">
        <w:t xml:space="preserve">the performance of this Contract or a </w:t>
      </w:r>
      <w:r w:rsidR="00415B17">
        <w:t>S</w:t>
      </w:r>
      <w:r w:rsidR="006C28C1">
        <w:t>ubcontract.  It includes, but is not limited to, purchase orders, and changes and modifications to purchase orders.</w:t>
      </w:r>
    </w:p>
    <w:p w14:paraId="132C25F2" w14:textId="02EDDA75" w:rsidR="00415B17" w:rsidRDefault="00415B17" w:rsidP="00415B17">
      <w:pPr>
        <w:pStyle w:val="ListParagraph"/>
        <w:ind w:left="1080"/>
        <w:jc w:val="both"/>
      </w:pPr>
    </w:p>
    <w:p w14:paraId="11585F01" w14:textId="61B6AFBB" w:rsidR="00415B17" w:rsidRDefault="00492A9B" w:rsidP="008E7D1A">
      <w:pPr>
        <w:pStyle w:val="ListParagraph"/>
        <w:numPr>
          <w:ilvl w:val="1"/>
          <w:numId w:val="2"/>
        </w:numPr>
        <w:ind w:left="1080"/>
        <w:jc w:val="both"/>
      </w:pPr>
      <w:r>
        <w:t>“</w:t>
      </w:r>
      <w:r w:rsidR="00415B17">
        <w:rPr>
          <w:i/>
          <w:iCs/>
        </w:rPr>
        <w:t>Subcontractor</w:t>
      </w:r>
      <w:r>
        <w:t>”</w:t>
      </w:r>
      <w:r w:rsidR="00415B17">
        <w:t xml:space="preserve"> </w:t>
      </w:r>
      <w:r w:rsidR="00743740">
        <w:t xml:space="preserve">shall mean </w:t>
      </w:r>
      <w:r w:rsidR="00415B17">
        <w:t>an entity that receives a Subcontract.</w:t>
      </w:r>
    </w:p>
    <w:p w14:paraId="317874B4" w14:textId="77777777" w:rsidR="008E7D1A" w:rsidRDefault="008E7D1A" w:rsidP="008E7D1A">
      <w:pPr>
        <w:pStyle w:val="ListParagraph"/>
        <w:ind w:left="1080"/>
        <w:jc w:val="both"/>
      </w:pPr>
    </w:p>
    <w:p w14:paraId="3F5CF718" w14:textId="48EEA5F9" w:rsidR="008E7D1A" w:rsidRDefault="00492A9B" w:rsidP="008E7D1A">
      <w:pPr>
        <w:pStyle w:val="ListParagraph"/>
        <w:numPr>
          <w:ilvl w:val="1"/>
          <w:numId w:val="2"/>
        </w:numPr>
        <w:ind w:left="1080"/>
        <w:jc w:val="both"/>
      </w:pPr>
      <w:r>
        <w:t>“</w:t>
      </w:r>
      <w:r w:rsidR="00C8713C">
        <w:rPr>
          <w:i/>
          <w:iCs/>
        </w:rPr>
        <w:t>Subrecipient</w:t>
      </w:r>
      <w:r>
        <w:t>”</w:t>
      </w:r>
      <w:r w:rsidR="00C8713C">
        <w:t xml:space="preserve"> </w:t>
      </w:r>
      <w:r w:rsidR="00743740">
        <w:t xml:space="preserve">shall mean </w:t>
      </w:r>
      <w:r w:rsidR="00C8713C">
        <w:t xml:space="preserve">an entity that receives a subaward from a pass-through entity to carry out part of a Federal award; but does not include an individual that is a beneficiary of such award.  A subrecipient may also be a recipient of other Federal awards directly from a </w:t>
      </w:r>
      <w:proofErr w:type="gramStart"/>
      <w:r w:rsidR="00C8713C">
        <w:t>Federal</w:t>
      </w:r>
      <w:proofErr w:type="gramEnd"/>
      <w:r w:rsidR="00C8713C">
        <w:t xml:space="preserve"> awarding agency.</w:t>
      </w:r>
    </w:p>
    <w:p w14:paraId="06622CE8" w14:textId="77777777" w:rsidR="00CD34E9" w:rsidRDefault="00CD34E9" w:rsidP="00CD34E9">
      <w:pPr>
        <w:pStyle w:val="ListParagraph"/>
        <w:ind w:left="1080"/>
        <w:jc w:val="both"/>
      </w:pPr>
    </w:p>
    <w:p w14:paraId="068F77AC" w14:textId="021D63FA" w:rsidR="00CD34E9" w:rsidRDefault="00CD34E9" w:rsidP="008E7D1A">
      <w:pPr>
        <w:pStyle w:val="ListParagraph"/>
        <w:numPr>
          <w:ilvl w:val="1"/>
          <w:numId w:val="2"/>
        </w:numPr>
        <w:ind w:left="1080"/>
        <w:jc w:val="both"/>
      </w:pPr>
      <w:r>
        <w:t>“</w:t>
      </w:r>
      <w:r>
        <w:rPr>
          <w:i/>
          <w:iCs/>
        </w:rPr>
        <w:t>Tier</w:t>
      </w:r>
      <w:r>
        <w:t>” shall have the meaning indicated in 2 C.F.R. Part 180</w:t>
      </w:r>
      <w:r w:rsidR="0081208E">
        <w:t xml:space="preserve"> and illustrated in 2 C.F.R. Part 180, Appendix II.</w:t>
      </w:r>
    </w:p>
    <w:p w14:paraId="7029E41C" w14:textId="77777777" w:rsidR="00624233" w:rsidRDefault="00624233" w:rsidP="00624233">
      <w:pPr>
        <w:pStyle w:val="ListParagraph"/>
        <w:ind w:left="1080"/>
        <w:jc w:val="both"/>
      </w:pPr>
    </w:p>
    <w:p w14:paraId="0B183631" w14:textId="08A990A5" w:rsidR="00C95EF7" w:rsidRPr="002E55DF" w:rsidRDefault="002E55DF" w:rsidP="00BB514B">
      <w:pPr>
        <w:pStyle w:val="ListParagraph"/>
        <w:numPr>
          <w:ilvl w:val="0"/>
          <w:numId w:val="2"/>
        </w:numPr>
        <w:jc w:val="both"/>
      </w:pPr>
      <w:r w:rsidRPr="0076119E">
        <w:rPr>
          <w:b/>
          <w:bCs/>
          <w:i/>
          <w:iCs/>
          <w:u w:val="single"/>
        </w:rPr>
        <w:t>E</w:t>
      </w:r>
      <w:r w:rsidR="00AB2773" w:rsidRPr="0076119E">
        <w:rPr>
          <w:b/>
          <w:bCs/>
          <w:i/>
          <w:iCs/>
          <w:u w:val="single"/>
        </w:rPr>
        <w:t>qual Employment Opportunity</w:t>
      </w:r>
      <w:r w:rsidR="001F684B">
        <w:rPr>
          <w:rStyle w:val="FootnoteReference"/>
          <w:b/>
          <w:bCs/>
          <w:i/>
          <w:iCs/>
          <w:u w:val="single"/>
        </w:rPr>
        <w:footnoteReference w:id="25"/>
      </w:r>
    </w:p>
    <w:p w14:paraId="4730DC0E" w14:textId="77777777" w:rsidR="002E55DF" w:rsidRPr="002E55DF" w:rsidRDefault="002E55DF" w:rsidP="00BB514B">
      <w:pPr>
        <w:pStyle w:val="ListParagraph"/>
        <w:ind w:left="360"/>
        <w:jc w:val="both"/>
      </w:pPr>
    </w:p>
    <w:p w14:paraId="347BFA23" w14:textId="01AF3897" w:rsidR="00AD1651" w:rsidRPr="003846C6" w:rsidRDefault="00FA564F" w:rsidP="00AD1651">
      <w:pPr>
        <w:pStyle w:val="ListParagraph"/>
        <w:numPr>
          <w:ilvl w:val="1"/>
          <w:numId w:val="2"/>
        </w:numPr>
        <w:ind w:left="1080"/>
        <w:jc w:val="both"/>
      </w:pPr>
      <w:r w:rsidRPr="003846C6">
        <w:t>If this Contract</w:t>
      </w:r>
      <w:r w:rsidR="00371B04" w:rsidRPr="003846C6">
        <w:t xml:space="preserve"> is a Federally Assisted Construction Contract</w:t>
      </w:r>
      <w:r w:rsidR="006724E2">
        <w:t xml:space="preserve"> exceeding $10,000</w:t>
      </w:r>
      <w:r w:rsidR="00371B04" w:rsidRPr="003846C6">
        <w:t>, during the performance of this Contract, Contractor agrees as follows:</w:t>
      </w:r>
    </w:p>
    <w:p w14:paraId="78B38D58" w14:textId="77777777" w:rsidR="006A51AB" w:rsidRDefault="006A51AB" w:rsidP="006A51AB">
      <w:pPr>
        <w:pStyle w:val="ListParagraph"/>
        <w:ind w:left="1080"/>
        <w:jc w:val="both"/>
      </w:pPr>
    </w:p>
    <w:p w14:paraId="77F4A40A" w14:textId="113910F8" w:rsidR="006A51AB" w:rsidRDefault="004D0C8E" w:rsidP="006A51AB">
      <w:pPr>
        <w:pStyle w:val="ListParagraph"/>
        <w:numPr>
          <w:ilvl w:val="2"/>
          <w:numId w:val="2"/>
        </w:numPr>
        <w:jc w:val="both"/>
      </w:pPr>
      <w:r>
        <w:t>Contractor</w:t>
      </w:r>
      <w:r w:rsidR="002E55DF">
        <w:t xml:space="preserve"> will not discriminate against any</w:t>
      </w:r>
      <w:r w:rsidR="00AB2773">
        <w:t xml:space="preserve"> employee or </w:t>
      </w:r>
      <w:r w:rsidR="00F257AA">
        <w:t>a</w:t>
      </w:r>
      <w:r w:rsidR="00AB2773">
        <w:t xml:space="preserve">pplicant for employment because of race, color, religion, sex, sexual orientation, gender identity, or national origin.  </w:t>
      </w:r>
      <w:r>
        <w:t>Contractor</w:t>
      </w:r>
      <w:r w:rsidR="00AB2773">
        <w:t xml:space="preserve"> will take affirmative action</w:t>
      </w:r>
      <w:r w:rsidR="006660F9">
        <w:t xml:space="preserve"> </w:t>
      </w:r>
      <w:r w:rsidR="00F42591">
        <w:t xml:space="preserve">to ensure that </w:t>
      </w:r>
      <w:r w:rsidR="00171593">
        <w:t>a</w:t>
      </w:r>
      <w:r w:rsidR="00F42591" w:rsidRPr="00F42591">
        <w:t>pplicants are employed, and that employees are treated during employment without regard to their race, color, religion, sex, sexual orientation, gender identity, or national origin. Such action shall include, but not be limited to the following:</w:t>
      </w:r>
      <w:r w:rsidR="00F4346A">
        <w:t xml:space="preserve"> </w:t>
      </w:r>
      <w:r w:rsidR="00666798">
        <w:t>e</w:t>
      </w:r>
      <w:r w:rsidR="00602844" w:rsidRPr="00602844">
        <w:t>mployment, upgrading, demotion, or transfer; recruitment or recruitment advertising; layoff or termination; rates of pay or other forms of compensation; and selection for training, including apprenticeship.</w:t>
      </w:r>
      <w:r w:rsidR="00F4346A" w:rsidRPr="00F4346A">
        <w:t xml:space="preserve"> </w:t>
      </w:r>
      <w:r>
        <w:t>Contractor</w:t>
      </w:r>
      <w:r w:rsidR="00F4346A" w:rsidRPr="00F4346A">
        <w:t xml:space="preserve"> agrees to post in conspicuous places, available to employees and applicants for employment, notices to be provided setting forth the provisions of this nondiscrimination clause.</w:t>
      </w:r>
    </w:p>
    <w:p w14:paraId="3E0C4F25" w14:textId="77777777" w:rsidR="006A51AB" w:rsidRDefault="006A51AB" w:rsidP="006A51AB">
      <w:pPr>
        <w:pStyle w:val="ListParagraph"/>
        <w:ind w:left="1800"/>
        <w:jc w:val="both"/>
      </w:pPr>
    </w:p>
    <w:p w14:paraId="1E33E413" w14:textId="47C178CE" w:rsidR="006A51AB" w:rsidRDefault="004D0C8E" w:rsidP="006A51AB">
      <w:pPr>
        <w:pStyle w:val="ListParagraph"/>
        <w:numPr>
          <w:ilvl w:val="2"/>
          <w:numId w:val="2"/>
        </w:numPr>
        <w:jc w:val="both"/>
      </w:pPr>
      <w:r>
        <w:t>Contractor</w:t>
      </w:r>
      <w:r w:rsidR="00AE36F3" w:rsidRPr="00AE36F3">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44450BF" w14:textId="77777777" w:rsidR="006A51AB" w:rsidRDefault="006A51AB" w:rsidP="006A51AB">
      <w:pPr>
        <w:pStyle w:val="ListParagraph"/>
        <w:ind w:left="1800"/>
        <w:jc w:val="both"/>
      </w:pPr>
    </w:p>
    <w:p w14:paraId="38689781" w14:textId="7407D8FD" w:rsidR="006A51AB" w:rsidRDefault="004D0C8E" w:rsidP="006A51AB">
      <w:pPr>
        <w:pStyle w:val="ListParagraph"/>
        <w:numPr>
          <w:ilvl w:val="2"/>
          <w:numId w:val="2"/>
        </w:numPr>
        <w:jc w:val="both"/>
      </w:pPr>
      <w:r>
        <w:t>Contractor</w:t>
      </w:r>
      <w:r w:rsidR="00FC6A08" w:rsidRPr="00FC6A08">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w:t>
      </w:r>
      <w:r w:rsidR="00492A9B">
        <w:t>’</w:t>
      </w:r>
      <w:r w:rsidR="00FC6A08" w:rsidRPr="00FC6A08">
        <w:t xml:space="preserv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t>Contractor</w:t>
      </w:r>
      <w:r w:rsidR="00492A9B">
        <w:t>’</w:t>
      </w:r>
      <w:r w:rsidR="00FC6A08" w:rsidRPr="00FC6A08">
        <w:t>s legal duty to furnish information.</w:t>
      </w:r>
    </w:p>
    <w:p w14:paraId="64075570" w14:textId="77777777" w:rsidR="006A51AB" w:rsidRDefault="006A51AB" w:rsidP="006A51AB">
      <w:pPr>
        <w:pStyle w:val="ListParagraph"/>
        <w:ind w:left="1800"/>
        <w:jc w:val="both"/>
      </w:pPr>
    </w:p>
    <w:p w14:paraId="67E823EE" w14:textId="481CE5EF" w:rsidR="006A51AB" w:rsidRDefault="004D0C8E" w:rsidP="006A51AB">
      <w:pPr>
        <w:pStyle w:val="ListParagraph"/>
        <w:numPr>
          <w:ilvl w:val="2"/>
          <w:numId w:val="2"/>
        </w:numPr>
        <w:jc w:val="both"/>
      </w:pPr>
      <w:r>
        <w:t>Contractor</w:t>
      </w:r>
      <w:r w:rsidR="007A4AD5">
        <w:t xml:space="preserve"> will </w:t>
      </w:r>
      <w:r w:rsidR="00E85A87" w:rsidRPr="00E85A87">
        <w:t>send to each labor union or representative of workers with which he has a collective bargaining agreement or other contract or understanding, a notice to be provided advising the said labor union or workers</w:t>
      </w:r>
      <w:r w:rsidR="00492A9B">
        <w:t>’</w:t>
      </w:r>
      <w:r w:rsidR="00E85A87" w:rsidRPr="00E85A87">
        <w:t xml:space="preserve"> representatives of the </w:t>
      </w:r>
      <w:r>
        <w:t>Contractor</w:t>
      </w:r>
      <w:r w:rsidR="00492A9B">
        <w:t>’</w:t>
      </w:r>
      <w:r w:rsidR="00E85A87" w:rsidRPr="00B60F01">
        <w:t>s</w:t>
      </w:r>
      <w:r w:rsidR="00E85A87" w:rsidRPr="00E85A87">
        <w:t xml:space="preserve"> commitments under this </w:t>
      </w:r>
      <w:proofErr w:type="gramStart"/>
      <w:r w:rsidR="00E85A87" w:rsidRPr="00E85A87">
        <w:t>section, and</w:t>
      </w:r>
      <w:proofErr w:type="gramEnd"/>
      <w:r w:rsidR="00E85A87" w:rsidRPr="00E85A87">
        <w:t xml:space="preserve"> shall post copies of the notice in conspicuous places available to employees and applicants for employment.</w:t>
      </w:r>
    </w:p>
    <w:p w14:paraId="44819E1A" w14:textId="77777777" w:rsidR="006A51AB" w:rsidRDefault="006A51AB" w:rsidP="006A51AB">
      <w:pPr>
        <w:pStyle w:val="ListParagraph"/>
        <w:ind w:left="1800"/>
        <w:jc w:val="both"/>
      </w:pPr>
    </w:p>
    <w:p w14:paraId="53F913C5" w14:textId="42FB0C67" w:rsidR="006A51AB" w:rsidRDefault="004D0C8E" w:rsidP="006A51AB">
      <w:pPr>
        <w:pStyle w:val="ListParagraph"/>
        <w:numPr>
          <w:ilvl w:val="2"/>
          <w:numId w:val="2"/>
        </w:numPr>
        <w:jc w:val="both"/>
      </w:pPr>
      <w:r>
        <w:t>Contractor</w:t>
      </w:r>
      <w:r w:rsidR="0019489F" w:rsidRPr="0019489F">
        <w:t xml:space="preserve"> will comply with all provisions of Executive Order 11246 of September 24, 1965, and of the rules, regulations, and relevant orders of the Secretary of Labor.</w:t>
      </w:r>
    </w:p>
    <w:p w14:paraId="341790E1" w14:textId="77777777" w:rsidR="006A51AB" w:rsidRDefault="006A51AB" w:rsidP="006A51AB">
      <w:pPr>
        <w:pStyle w:val="ListParagraph"/>
        <w:ind w:left="1800"/>
        <w:jc w:val="both"/>
      </w:pPr>
    </w:p>
    <w:p w14:paraId="31DFA13E" w14:textId="77777777" w:rsidR="006A51AB" w:rsidRDefault="004D0C8E" w:rsidP="006A51AB">
      <w:pPr>
        <w:pStyle w:val="ListParagraph"/>
        <w:numPr>
          <w:ilvl w:val="2"/>
          <w:numId w:val="2"/>
        </w:numPr>
        <w:jc w:val="both"/>
      </w:pPr>
      <w:r>
        <w:t>Contractor</w:t>
      </w:r>
      <w:r w:rsidR="0019489F" w:rsidRPr="0019489F">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r w:rsidR="0019489F">
        <w:t>.</w:t>
      </w:r>
    </w:p>
    <w:p w14:paraId="1B6F0FCA" w14:textId="77777777" w:rsidR="006A51AB" w:rsidRDefault="006A51AB" w:rsidP="006A51AB">
      <w:pPr>
        <w:pStyle w:val="ListParagraph"/>
        <w:ind w:left="1800"/>
        <w:jc w:val="both"/>
      </w:pPr>
    </w:p>
    <w:p w14:paraId="10D33479" w14:textId="3395D4F8" w:rsidR="006A51AB" w:rsidRDefault="00B1048E" w:rsidP="006A51AB">
      <w:pPr>
        <w:pStyle w:val="ListParagraph"/>
        <w:numPr>
          <w:ilvl w:val="2"/>
          <w:numId w:val="2"/>
        </w:numPr>
        <w:jc w:val="both"/>
      </w:pPr>
      <w:r w:rsidRPr="00B1048E">
        <w:t xml:space="preserve">In the event of </w:t>
      </w:r>
      <w:r w:rsidR="004D0C8E">
        <w:t>Contractor</w:t>
      </w:r>
      <w:r w:rsidR="00492A9B">
        <w:t>’</w:t>
      </w:r>
      <w:r w:rsidR="00E86BA6">
        <w:t>s</w:t>
      </w:r>
      <w:r w:rsidRPr="00B1048E">
        <w:t xml:space="preserve"> noncompliance with the nondiscrimination clauses of this </w:t>
      </w:r>
      <w:r>
        <w:t>Contract</w:t>
      </w:r>
      <w:r w:rsidRPr="00B1048E">
        <w:t xml:space="preserve"> or with any of the said rules, regulations, or orders, this contract may be canceled, terminated, or suspended in whole or in part and the </w:t>
      </w:r>
      <w:r w:rsidR="004D0C8E">
        <w:t>Contractor</w:t>
      </w:r>
      <w:r w:rsidRPr="00B1048E">
        <w:t xml:space="preserve"> may be declared ineligible for further Government contracts or </w:t>
      </w:r>
      <w:r w:rsidR="002A16C2">
        <w:t>F</w:t>
      </w:r>
      <w:r w:rsidRPr="00B1048E">
        <w:t xml:space="preserve">ederally </w:t>
      </w:r>
      <w:r w:rsidR="002A16C2">
        <w:t>A</w:t>
      </w:r>
      <w:r w:rsidRPr="00B1048E">
        <w:t xml:space="preserve">ssisted </w:t>
      </w:r>
      <w:r w:rsidR="002A16C2">
        <w:t>C</w:t>
      </w:r>
      <w:r w:rsidRPr="00B1048E">
        <w:t xml:space="preserve">onstruction </w:t>
      </w:r>
      <w:r w:rsidR="002A16C2">
        <w:t>C</w:t>
      </w:r>
      <w:r w:rsidRPr="00B1048E">
        <w:t>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7B6B235C" w14:textId="77777777" w:rsidR="006A51AB" w:rsidRDefault="006A51AB" w:rsidP="006A51AB">
      <w:pPr>
        <w:pStyle w:val="ListParagraph"/>
        <w:ind w:left="1800"/>
        <w:jc w:val="both"/>
      </w:pPr>
    </w:p>
    <w:p w14:paraId="085798D0" w14:textId="1D593755" w:rsidR="006E5FA7" w:rsidRDefault="004D0C8E" w:rsidP="006A51AB">
      <w:pPr>
        <w:pStyle w:val="ListParagraph"/>
        <w:numPr>
          <w:ilvl w:val="2"/>
          <w:numId w:val="2"/>
        </w:numPr>
        <w:jc w:val="both"/>
      </w:pPr>
      <w:r>
        <w:t>Contractor</w:t>
      </w:r>
      <w:r w:rsidR="00D034F1" w:rsidRPr="00B1048E">
        <w:t xml:space="preserve"> </w:t>
      </w:r>
      <w:r w:rsidR="006E5FA7" w:rsidRPr="006E5FA7">
        <w:t xml:space="preserve">will include the portion of the sentence immediately preceding paragraph </w:t>
      </w:r>
      <w:r w:rsidR="00371B04">
        <w:t>(a)</w:t>
      </w:r>
      <w:r w:rsidR="006E5FA7" w:rsidRPr="006E5FA7">
        <w:t>(</w:t>
      </w:r>
      <w:r w:rsidR="00415B17">
        <w:t>i</w:t>
      </w:r>
      <w:r w:rsidR="006E5FA7" w:rsidRPr="006E5FA7">
        <w:t xml:space="preserve">) </w:t>
      </w:r>
      <w:r w:rsidR="00371B04">
        <w:t xml:space="preserve">of this </w:t>
      </w:r>
      <w:r w:rsidR="00371B04" w:rsidRPr="001D506D">
        <w:rPr>
          <w:u w:val="single"/>
        </w:rPr>
        <w:t>Section II</w:t>
      </w:r>
      <w:r w:rsidR="00371B04">
        <w:t xml:space="preserve"> </w:t>
      </w:r>
      <w:r w:rsidR="006E5FA7" w:rsidRPr="006E5FA7">
        <w:t xml:space="preserve">and the provisions of paragraphs </w:t>
      </w:r>
      <w:r w:rsidR="00371B04">
        <w:t>(a)</w:t>
      </w:r>
      <w:r w:rsidR="006E5FA7" w:rsidRPr="006E5FA7">
        <w:t>(</w:t>
      </w:r>
      <w:r>
        <w:t>i</w:t>
      </w:r>
      <w:r w:rsidR="006E5FA7" w:rsidRPr="006E5FA7">
        <w:t xml:space="preserve">) through </w:t>
      </w:r>
      <w:r w:rsidR="00371B04">
        <w:t>(a)</w:t>
      </w:r>
      <w:r w:rsidR="006E5FA7" w:rsidRPr="006E5FA7">
        <w:t>(</w:t>
      </w:r>
      <w:r>
        <w:t>viii</w:t>
      </w:r>
      <w:r w:rsidR="006E5FA7" w:rsidRPr="006E5FA7">
        <w:t xml:space="preserve">) in every </w:t>
      </w:r>
      <w:r w:rsidR="002B23AE">
        <w:t>S</w:t>
      </w:r>
      <w:r w:rsidR="006E5FA7" w:rsidRPr="006E5FA7">
        <w:t xml:space="preserve">ubcontract or purchase order unless exempted by rules, regulations, or orders of the Secretary of Labor issued pursuant to section 204 of Executive Order 11246 of September 24, 1965, so that such provisions will be binding upon each </w:t>
      </w:r>
      <w:r w:rsidR="00415B17">
        <w:t>S</w:t>
      </w:r>
      <w:r w:rsidR="006E5FA7" w:rsidRPr="006E5FA7">
        <w:t xml:space="preserve">ubcontractor or vendor. The </w:t>
      </w:r>
      <w:r w:rsidR="00371B04">
        <w:t>C</w:t>
      </w:r>
      <w:r w:rsidR="006E5FA7" w:rsidRPr="006E5FA7">
        <w:t xml:space="preserve">ontractor will take such action with respect to any </w:t>
      </w:r>
      <w:r w:rsidR="002B23AE">
        <w:t>S</w:t>
      </w:r>
      <w:r w:rsidR="006E5FA7" w:rsidRPr="006E5FA7">
        <w:t xml:space="preserve">ubcontract or purchase order as the </w:t>
      </w:r>
      <w:r w:rsidR="00BE6945">
        <w:t>A</w:t>
      </w:r>
      <w:r w:rsidR="006E5FA7" w:rsidRPr="006E5FA7">
        <w:t xml:space="preserve">dministering </w:t>
      </w:r>
      <w:r w:rsidR="00BE6945">
        <w:t>A</w:t>
      </w:r>
      <w:r w:rsidR="006E5FA7" w:rsidRPr="006E5FA7">
        <w:t>gency may direct as a means of enforcing such provisions, including sanctions for noncompliance</w:t>
      </w:r>
      <w:r w:rsidR="006E5FA7">
        <w:t>.</w:t>
      </w:r>
    </w:p>
    <w:p w14:paraId="71785682" w14:textId="77777777" w:rsidR="006E5FA7" w:rsidRDefault="006E5FA7" w:rsidP="00BB514B">
      <w:pPr>
        <w:pStyle w:val="ListParagraph"/>
        <w:ind w:left="1800"/>
        <w:jc w:val="both"/>
      </w:pPr>
    </w:p>
    <w:p w14:paraId="151BCE14" w14:textId="1762D5E1" w:rsidR="007279B9" w:rsidRDefault="007279B9" w:rsidP="00BB514B">
      <w:pPr>
        <w:pStyle w:val="ListParagraph"/>
        <w:ind w:left="1800"/>
        <w:jc w:val="both"/>
      </w:pPr>
      <w:r>
        <w:lastRenderedPageBreak/>
        <w:t xml:space="preserve">Provided, however, that in the event a </w:t>
      </w:r>
      <w:r w:rsidR="004D0C8E">
        <w:t>Contractor</w:t>
      </w:r>
      <w:r w:rsidR="00D034F1">
        <w:t xml:space="preserve"> </w:t>
      </w:r>
      <w:r>
        <w:t xml:space="preserve">becomes involved in, or is threatened with, litigation with a </w:t>
      </w:r>
      <w:r w:rsidR="002B23AE">
        <w:t>S</w:t>
      </w:r>
      <w:r>
        <w:t xml:space="preserve">ubcontractor or vendor </w:t>
      </w:r>
      <w:proofErr w:type="gramStart"/>
      <w:r>
        <w:t>as a result of</w:t>
      </w:r>
      <w:proofErr w:type="gramEnd"/>
      <w:r>
        <w:t xml:space="preserve"> such direction by the administering agency, the Contractor may request the United States to enter into such litigation to protect the interests of the United States.</w:t>
      </w:r>
    </w:p>
    <w:p w14:paraId="66BD85F8" w14:textId="77777777" w:rsidR="007279B9" w:rsidRDefault="007279B9" w:rsidP="00BB514B">
      <w:pPr>
        <w:pStyle w:val="ListParagraph"/>
        <w:ind w:left="1800"/>
        <w:jc w:val="both"/>
      </w:pPr>
    </w:p>
    <w:p w14:paraId="3AA37FB0" w14:textId="4A6C96B0" w:rsidR="006A51AB" w:rsidRDefault="009F107F" w:rsidP="006A51AB">
      <w:pPr>
        <w:pStyle w:val="ListParagraph"/>
        <w:ind w:left="1800"/>
        <w:jc w:val="both"/>
      </w:pPr>
      <w:r w:rsidRPr="004D0C8E">
        <w:t>Unit</w:t>
      </w:r>
      <w:r w:rsidR="004D0C8E">
        <w:t xml:space="preserve"> </w:t>
      </w:r>
      <w:r w:rsidR="007279B9">
        <w:t xml:space="preserve">further agrees that it will be bound by the above equal opportunity clause with respect to its own employment practices when it participates in federally assisted construction work: Provided, </w:t>
      </w:r>
      <w:r w:rsidR="009F4AE2">
        <w:t>t</w:t>
      </w:r>
      <w:r w:rsidR="007279B9">
        <w:t xml:space="preserve">hat </w:t>
      </w:r>
      <w:r w:rsidR="009F4AE2">
        <w:t>if</w:t>
      </w:r>
      <w:r w:rsidR="007279B9">
        <w:t xml:space="preserve"> the </w:t>
      </w:r>
      <w:r w:rsidR="004D0C8E">
        <w:t>Unit</w:t>
      </w:r>
      <w:r w:rsidR="007279B9">
        <w:t xml:space="preserve"> so participating is a State or local government, the above equal opportunity clause is not applicable to any agency, instrumentality or subdivision of such government which does not participate in work on or under the contract.</w:t>
      </w:r>
    </w:p>
    <w:p w14:paraId="42DDCDCE" w14:textId="0D5FBFA7" w:rsidR="006A51AB" w:rsidRDefault="006A51AB" w:rsidP="006A51AB">
      <w:pPr>
        <w:pStyle w:val="ListParagraph"/>
        <w:ind w:left="1800"/>
        <w:jc w:val="both"/>
      </w:pPr>
    </w:p>
    <w:p w14:paraId="2855DFD8" w14:textId="22B3854A" w:rsidR="006A51AB" w:rsidRDefault="004D0C8E" w:rsidP="006A51AB">
      <w:pPr>
        <w:pStyle w:val="ListParagraph"/>
        <w:numPr>
          <w:ilvl w:val="2"/>
          <w:numId w:val="2"/>
        </w:numPr>
        <w:jc w:val="both"/>
      </w:pPr>
      <w:r>
        <w:t>Unit</w:t>
      </w:r>
      <w:r w:rsidR="007279B9">
        <w:t xml:space="preserve"> agrees that it will assist and cooperate actively with the </w:t>
      </w:r>
      <w:r w:rsidR="00BE6945">
        <w:t>A</w:t>
      </w:r>
      <w:r w:rsidR="007279B9">
        <w:t xml:space="preserve">dministering </w:t>
      </w:r>
      <w:r w:rsidR="00BE6945">
        <w:t>A</w:t>
      </w:r>
      <w:r w:rsidR="007279B9">
        <w:t xml:space="preserve">gency and the Secretary of Labor in obtaining the compliance of Contractors and </w:t>
      </w:r>
      <w:r w:rsidR="002B23AE">
        <w:t>S</w:t>
      </w:r>
      <w:r w:rsidR="007279B9">
        <w:t>ub</w:t>
      </w:r>
      <w:r w:rsidR="00635E10">
        <w:t>c</w:t>
      </w:r>
      <w:r w:rsidR="007279B9">
        <w:t>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w:t>
      </w:r>
      <w:r w:rsidR="00492A9B">
        <w:t>’</w:t>
      </w:r>
      <w:r w:rsidR="007279B9">
        <w:t>s primary responsibility for securing compliance.</w:t>
      </w:r>
    </w:p>
    <w:p w14:paraId="22441E9E" w14:textId="77777777" w:rsidR="006A51AB" w:rsidRDefault="006A51AB" w:rsidP="006A51AB">
      <w:pPr>
        <w:pStyle w:val="ListParagraph"/>
        <w:ind w:left="1800"/>
        <w:jc w:val="both"/>
      </w:pPr>
    </w:p>
    <w:p w14:paraId="3E2FC771" w14:textId="1EC89A10" w:rsidR="006E5FA7" w:rsidRDefault="007279B9" w:rsidP="006A51AB">
      <w:pPr>
        <w:pStyle w:val="ListParagraph"/>
        <w:numPr>
          <w:ilvl w:val="2"/>
          <w:numId w:val="2"/>
        </w:numPr>
        <w:jc w:val="both"/>
      </w:pPr>
      <w:r>
        <w:t xml:space="preserve">The </w:t>
      </w:r>
      <w:r w:rsidR="004D0C8E">
        <w:t>Unit</w:t>
      </w:r>
      <w:r>
        <w:t xml:space="preserv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w:t>
      </w:r>
      <w:r w:rsidR="002B23AE">
        <w:t>S</w:t>
      </w:r>
      <w:r>
        <w:t xml:space="preserve">ubcontractors by the Administering Agency or the Secretary of Labor pursuant to Part II, Subpart D of the Executive Order. In addition, the </w:t>
      </w:r>
      <w:r w:rsidR="004D0C8E">
        <w:t>Unit</w:t>
      </w:r>
      <w:r>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138CAEF7" w14:textId="77777777" w:rsidR="00012D55" w:rsidRDefault="00012D55" w:rsidP="00012D55">
      <w:pPr>
        <w:pStyle w:val="ListParagraph"/>
        <w:ind w:left="1800"/>
        <w:jc w:val="both"/>
      </w:pPr>
    </w:p>
    <w:p w14:paraId="68243A4D" w14:textId="70219594" w:rsidR="00012D55" w:rsidRPr="003846C6" w:rsidRDefault="00012D55" w:rsidP="00012D55">
      <w:pPr>
        <w:pStyle w:val="ListParagraph"/>
        <w:numPr>
          <w:ilvl w:val="1"/>
          <w:numId w:val="2"/>
        </w:numPr>
        <w:ind w:left="1080"/>
        <w:jc w:val="both"/>
      </w:pPr>
      <w:r w:rsidRPr="003846C6">
        <w:t>If this Contract is</w:t>
      </w:r>
      <w:r>
        <w:t xml:space="preserve"> not</w:t>
      </w:r>
      <w:r w:rsidRPr="003846C6">
        <w:t xml:space="preserve"> a Federally Assisted Construction Contract</w:t>
      </w:r>
      <w:r w:rsidR="00527B4D">
        <w:t xml:space="preserve"> exceeding $10,000</w:t>
      </w:r>
      <w:r w:rsidRPr="003846C6">
        <w:t xml:space="preserve">, </w:t>
      </w:r>
      <w:r>
        <w:t xml:space="preserve">the provisions of </w:t>
      </w:r>
      <w:r w:rsidRPr="001D506D">
        <w:rPr>
          <w:u w:val="single"/>
        </w:rPr>
        <w:t>Section I(a)</w:t>
      </w:r>
      <w:r>
        <w:t xml:space="preserve"> </w:t>
      </w:r>
      <w:r w:rsidR="001E5841">
        <w:t xml:space="preserve">of this Contract </w:t>
      </w:r>
      <w:r>
        <w:t>shall not apply.</w:t>
      </w:r>
    </w:p>
    <w:p w14:paraId="59F2C63A" w14:textId="1E3A1600" w:rsidR="006E5FA7" w:rsidRDefault="006E5FA7" w:rsidP="00BB514B">
      <w:pPr>
        <w:pStyle w:val="ListParagraph"/>
        <w:ind w:left="1800"/>
        <w:jc w:val="both"/>
      </w:pPr>
    </w:p>
    <w:p w14:paraId="356AB526" w14:textId="59B440A7" w:rsidR="00E02243" w:rsidRDefault="00E02243" w:rsidP="00BB514B">
      <w:pPr>
        <w:pStyle w:val="ListParagraph"/>
        <w:ind w:left="1800"/>
        <w:jc w:val="both"/>
      </w:pPr>
    </w:p>
    <w:p w14:paraId="73213C4D" w14:textId="77777777" w:rsidR="00E02243" w:rsidRDefault="00E02243" w:rsidP="00BB514B">
      <w:pPr>
        <w:pStyle w:val="ListParagraph"/>
        <w:ind w:left="1800"/>
        <w:jc w:val="both"/>
      </w:pPr>
    </w:p>
    <w:p w14:paraId="63BFB89E" w14:textId="0BA35B40" w:rsidR="008D3114" w:rsidRPr="005F5D52" w:rsidRDefault="00561A0A" w:rsidP="00BB514B">
      <w:pPr>
        <w:pStyle w:val="ListParagraph"/>
        <w:numPr>
          <w:ilvl w:val="0"/>
          <w:numId w:val="2"/>
        </w:numPr>
        <w:jc w:val="both"/>
        <w:rPr>
          <w:b/>
          <w:bCs/>
          <w:i/>
          <w:iCs/>
          <w:u w:val="single"/>
        </w:rPr>
      </w:pPr>
      <w:r w:rsidRPr="005F5D52">
        <w:rPr>
          <w:b/>
          <w:bCs/>
          <w:i/>
          <w:iCs/>
          <w:u w:val="single"/>
        </w:rPr>
        <w:t xml:space="preserve">Copeland </w:t>
      </w:r>
      <w:r w:rsidR="00492A9B">
        <w:rPr>
          <w:b/>
          <w:bCs/>
          <w:i/>
          <w:iCs/>
          <w:u w:val="single"/>
        </w:rPr>
        <w:t>“</w:t>
      </w:r>
      <w:r w:rsidRPr="005F5D52">
        <w:rPr>
          <w:b/>
          <w:bCs/>
          <w:i/>
          <w:iCs/>
          <w:u w:val="single"/>
        </w:rPr>
        <w:t>Anti-Kickback</w:t>
      </w:r>
      <w:r w:rsidR="00492A9B">
        <w:rPr>
          <w:b/>
          <w:bCs/>
          <w:i/>
          <w:iCs/>
          <w:u w:val="single"/>
        </w:rPr>
        <w:t>”</w:t>
      </w:r>
      <w:r w:rsidRPr="005F5D52">
        <w:rPr>
          <w:b/>
          <w:bCs/>
          <w:i/>
          <w:iCs/>
          <w:u w:val="single"/>
        </w:rPr>
        <w:t xml:space="preserve"> Act</w:t>
      </w:r>
      <w:bookmarkStart w:id="0" w:name="_Ref98247255"/>
      <w:r w:rsidR="00A724BB">
        <w:rPr>
          <w:rStyle w:val="FootnoteReference"/>
          <w:b/>
          <w:bCs/>
          <w:i/>
          <w:iCs/>
          <w:u w:val="single"/>
        </w:rPr>
        <w:footnoteReference w:id="26"/>
      </w:r>
      <w:bookmarkEnd w:id="0"/>
    </w:p>
    <w:p w14:paraId="1D6ACF1A" w14:textId="77777777" w:rsidR="00561A0A" w:rsidRPr="005F5D52" w:rsidRDefault="00561A0A" w:rsidP="00BB514B">
      <w:pPr>
        <w:pStyle w:val="ListParagraph"/>
        <w:ind w:left="360"/>
        <w:jc w:val="both"/>
        <w:rPr>
          <w:b/>
          <w:bCs/>
          <w:u w:val="single"/>
        </w:rPr>
      </w:pPr>
    </w:p>
    <w:p w14:paraId="67C6D07F" w14:textId="3D5E7B79" w:rsidR="00DD4EF8" w:rsidRDefault="004D0C8E" w:rsidP="00A8092D">
      <w:pPr>
        <w:pStyle w:val="ListParagraph"/>
        <w:numPr>
          <w:ilvl w:val="1"/>
          <w:numId w:val="2"/>
        </w:numPr>
        <w:ind w:left="1080"/>
        <w:jc w:val="both"/>
      </w:pPr>
      <w:r>
        <w:t>Contractor</w:t>
      </w:r>
      <w:r w:rsidR="004776AB">
        <w:t xml:space="preserve"> </w:t>
      </w:r>
      <w:r w:rsidR="0012310F">
        <w:t xml:space="preserve">and any </w:t>
      </w:r>
      <w:r w:rsidR="002B23AE">
        <w:t>S</w:t>
      </w:r>
      <w:r w:rsidR="0012310F">
        <w:t xml:space="preserve">ubcontractors </w:t>
      </w:r>
      <w:r w:rsidR="00DD4EF8">
        <w:t>performing work under the Contract</w:t>
      </w:r>
      <w:r w:rsidR="0012310F">
        <w:t xml:space="preserve"> </w:t>
      </w:r>
      <w:r w:rsidR="004776AB">
        <w:t xml:space="preserve">shall comply with </w:t>
      </w:r>
      <w:r w:rsidR="00797FD7">
        <w:t>18 U.S.C. § 874</w:t>
      </w:r>
      <w:r w:rsidR="00DD4EF8">
        <w:t>.</w:t>
      </w:r>
      <w:r w:rsidR="00573EA8">
        <w:t xml:space="preserve">  Unit shall report </w:t>
      </w:r>
      <w:r w:rsidR="00A073F1">
        <w:t>all suspected or reported violations to the U.S. Department of the Treasury.</w:t>
      </w:r>
      <w:r w:rsidR="00A724BB">
        <w:rPr>
          <w:rStyle w:val="FootnoteReference"/>
        </w:rPr>
        <w:footnoteReference w:id="27"/>
      </w:r>
    </w:p>
    <w:p w14:paraId="5FF1B8AE" w14:textId="77777777" w:rsidR="00793D32" w:rsidRDefault="00793D32" w:rsidP="00793D32">
      <w:pPr>
        <w:pStyle w:val="ListParagraph"/>
        <w:ind w:left="1080"/>
        <w:jc w:val="both"/>
      </w:pPr>
    </w:p>
    <w:p w14:paraId="5D2BC1E5" w14:textId="77777777" w:rsidR="003B43DF" w:rsidRPr="003B43DF" w:rsidRDefault="00405F45" w:rsidP="003B43DF">
      <w:pPr>
        <w:pStyle w:val="ListParagraph"/>
        <w:numPr>
          <w:ilvl w:val="0"/>
          <w:numId w:val="2"/>
        </w:numPr>
        <w:jc w:val="both"/>
      </w:pPr>
      <w:r w:rsidRPr="005F5D52">
        <w:rPr>
          <w:b/>
          <w:bCs/>
          <w:i/>
          <w:iCs/>
          <w:u w:val="single"/>
        </w:rPr>
        <w:lastRenderedPageBreak/>
        <w:t>Contract Work Hours and Safety Standards Act</w:t>
      </w:r>
      <w:r w:rsidR="00902BC1">
        <w:rPr>
          <w:rStyle w:val="FootnoteReference"/>
        </w:rPr>
        <w:footnoteReference w:id="28"/>
      </w:r>
    </w:p>
    <w:p w14:paraId="6F19B032" w14:textId="77777777" w:rsidR="003B43DF" w:rsidRPr="003B43DF" w:rsidRDefault="003B43DF" w:rsidP="003B43DF">
      <w:pPr>
        <w:pStyle w:val="ListParagraph"/>
        <w:ind w:left="360"/>
        <w:jc w:val="both"/>
      </w:pPr>
    </w:p>
    <w:p w14:paraId="5F5FC22D" w14:textId="566731D6" w:rsidR="003B43DF" w:rsidRDefault="003A419E" w:rsidP="003B43DF">
      <w:pPr>
        <w:pStyle w:val="ListParagraph"/>
        <w:numPr>
          <w:ilvl w:val="1"/>
          <w:numId w:val="2"/>
        </w:numPr>
        <w:jc w:val="both"/>
      </w:pPr>
      <w:r w:rsidRPr="003B43DF">
        <w:rPr>
          <w:i/>
          <w:iCs/>
        </w:rPr>
        <w:t>Overtime Requirements.</w:t>
      </w:r>
      <w:r>
        <w:t xml:space="preserve">  No </w:t>
      </w:r>
      <w:r w:rsidR="00BE0528">
        <w:t>Contractor</w:t>
      </w:r>
      <w:r>
        <w:t xml:space="preserve"> or </w:t>
      </w:r>
      <w:r w:rsidR="00F4406E">
        <w:t>Subcontractor</w:t>
      </w:r>
      <w:r>
        <w:t xml:space="preserve"> contracting for any part of the Contract work which may require or involve the employment of </w:t>
      </w:r>
      <w:r w:rsidR="003F3454">
        <w:t>L</w:t>
      </w:r>
      <w:r>
        <w:t xml:space="preserve">aborers or </w:t>
      </w:r>
      <w:r w:rsidR="003F3454">
        <w:t>M</w:t>
      </w:r>
      <w:r>
        <w:t xml:space="preserve">echanics shall require or permit any such </w:t>
      </w:r>
      <w:r w:rsidR="003F3454">
        <w:t>L</w:t>
      </w:r>
      <w:r>
        <w:t xml:space="preserve">aborer or </w:t>
      </w:r>
      <w:r w:rsidR="003F3454">
        <w:t>M</w:t>
      </w:r>
      <w:r>
        <w:t xml:space="preserve">echanic in any workweek in which he or she is employed on such work to work in excess of forty hours in such workweek unless such </w:t>
      </w:r>
      <w:r w:rsidR="003F3454">
        <w:t>L</w:t>
      </w:r>
      <w:r>
        <w:t xml:space="preserve">aborer or </w:t>
      </w:r>
      <w:r w:rsidR="003F3454">
        <w:t>M</w:t>
      </w:r>
      <w:r>
        <w:t>echanic receives compensation at a rate not less than one and one-half times the basic rate of pay for all hours worked in excess of forty hours in such workweek.</w:t>
      </w:r>
    </w:p>
    <w:p w14:paraId="2F75C738" w14:textId="77777777" w:rsidR="003B43DF" w:rsidRDefault="003B43DF" w:rsidP="003B43DF">
      <w:pPr>
        <w:pStyle w:val="ListParagraph"/>
        <w:ind w:left="900"/>
        <w:jc w:val="both"/>
      </w:pPr>
    </w:p>
    <w:p w14:paraId="48DA1539" w14:textId="20C63D6F" w:rsidR="00EA5AF0" w:rsidRDefault="00CA7AF5" w:rsidP="00EA5AF0">
      <w:pPr>
        <w:pStyle w:val="ListParagraph"/>
        <w:numPr>
          <w:ilvl w:val="1"/>
          <w:numId w:val="2"/>
        </w:numPr>
        <w:jc w:val="both"/>
      </w:pPr>
      <w:r w:rsidRPr="1BCF4D92">
        <w:rPr>
          <w:i/>
          <w:iCs/>
        </w:rPr>
        <w:t>Violation; Liability for Unpaid Wages; Liquidated Damages</w:t>
      </w:r>
      <w:r>
        <w:t xml:space="preserve">.  In the event of any violation of the clause set forth in </w:t>
      </w:r>
      <w:r w:rsidR="00EA5AF0" w:rsidRPr="1BCF4D92">
        <w:rPr>
          <w:u w:val="single"/>
        </w:rPr>
        <w:t xml:space="preserve">Section </w:t>
      </w:r>
      <w:r w:rsidR="00312773" w:rsidRPr="1BCF4D92">
        <w:rPr>
          <w:u w:val="single"/>
        </w:rPr>
        <w:t>[</w:t>
      </w:r>
      <w:r w:rsidR="00EA5AF0" w:rsidRPr="1BCF4D92">
        <w:rPr>
          <w:u w:val="single"/>
        </w:rPr>
        <w:t>IV(a)</w:t>
      </w:r>
      <w:r w:rsidR="00312773" w:rsidRPr="1BCF4D92">
        <w:rPr>
          <w:u w:val="single"/>
        </w:rPr>
        <w:t>]</w:t>
      </w:r>
      <w:r w:rsidR="003D054A">
        <w:t xml:space="preserve"> (</w:t>
      </w:r>
      <w:r w:rsidRPr="1BCF4D92">
        <w:rPr>
          <w:i/>
          <w:iCs/>
        </w:rPr>
        <w:t>Overtime Requirements</w:t>
      </w:r>
      <w:r w:rsidR="003D054A">
        <w:t>)</w:t>
      </w:r>
      <w:r>
        <w:t xml:space="preserve"> above, </w:t>
      </w:r>
      <w:r w:rsidR="003F3454">
        <w:t>C</w:t>
      </w:r>
      <w:r w:rsidR="00B34DFD">
        <w:t xml:space="preserve">ontractor and any </w:t>
      </w:r>
      <w:r w:rsidR="00D63FC5">
        <w:t>Subcontractor</w:t>
      </w:r>
      <w:r w:rsidR="00B34DFD">
        <w:t xml:space="preserve"> responsible therefor shall be liable for the unpaid wages.  In addition, such </w:t>
      </w:r>
      <w:r w:rsidR="008C55F1">
        <w:t>C</w:t>
      </w:r>
      <w:r w:rsidR="00B34DFD">
        <w:t xml:space="preserve">ontractor and </w:t>
      </w:r>
      <w:r w:rsidR="008C55F1">
        <w:t>Subcontractor</w:t>
      </w:r>
      <w:r w:rsidR="00B34DFD">
        <w:t xml:space="preserve"> shall be liab</w:t>
      </w:r>
      <w:r w:rsidR="008C7CEA">
        <w:t xml:space="preserve">le to the United States </w:t>
      </w:r>
      <w:r w:rsidR="00956D7F">
        <w:t>(in the case of work done under contract for the District of Columbia or a territory</w:t>
      </w:r>
      <w:r w:rsidR="000069B5">
        <w:t xml:space="preserve">, to such District or to such territory), for liquidated damages.  Such liquidated damages shall be computed with respect to each individual Laborer or Mechanic, including watchmen and guards, employed in violation of the clause set forth in </w:t>
      </w:r>
      <w:r w:rsidR="003D054A" w:rsidRPr="1BCF4D92">
        <w:rPr>
          <w:u w:val="single"/>
        </w:rPr>
        <w:t>Section [IV(a)]</w:t>
      </w:r>
      <w:r w:rsidR="003D054A">
        <w:t xml:space="preserve"> (</w:t>
      </w:r>
      <w:r w:rsidR="003D054A" w:rsidRPr="1BCF4D92">
        <w:rPr>
          <w:i/>
          <w:iCs/>
        </w:rPr>
        <w:t>Overtime Requirements</w:t>
      </w:r>
      <w:r w:rsidR="003D054A">
        <w:t>)</w:t>
      </w:r>
      <w:r w:rsidR="009E58EF">
        <w:t xml:space="preserve"> above</w:t>
      </w:r>
      <w:r w:rsidR="002876AC">
        <w:t xml:space="preserve">, in the sum of $27 for each calendar day on which such individual was required or permitted to work in excess of the standard workweek of forty hours without payment of the overtime wages required by the clause set forth in </w:t>
      </w:r>
      <w:r w:rsidR="003D054A" w:rsidRPr="1BCF4D92">
        <w:rPr>
          <w:u w:val="single"/>
        </w:rPr>
        <w:t>Section [IV(a)]</w:t>
      </w:r>
      <w:r w:rsidR="003D054A">
        <w:t xml:space="preserve"> (</w:t>
      </w:r>
      <w:r w:rsidR="003D054A" w:rsidRPr="1BCF4D92">
        <w:rPr>
          <w:i/>
          <w:iCs/>
        </w:rPr>
        <w:t>Overtime Requirements</w:t>
      </w:r>
      <w:r w:rsidR="003D054A">
        <w:t>)</w:t>
      </w:r>
      <w:r w:rsidR="00865C34">
        <w:t xml:space="preserve"> above.</w:t>
      </w:r>
    </w:p>
    <w:p w14:paraId="7C3037E9" w14:textId="77777777" w:rsidR="00EA5AF0" w:rsidRDefault="00EA5AF0" w:rsidP="00EA5AF0">
      <w:pPr>
        <w:pStyle w:val="ListParagraph"/>
        <w:ind w:left="900"/>
        <w:jc w:val="both"/>
      </w:pPr>
    </w:p>
    <w:p w14:paraId="6675A2CF" w14:textId="6C267B17" w:rsidR="00EA5AF0" w:rsidRDefault="00865C34" w:rsidP="00EA5AF0">
      <w:pPr>
        <w:pStyle w:val="ListParagraph"/>
        <w:numPr>
          <w:ilvl w:val="1"/>
          <w:numId w:val="2"/>
        </w:numPr>
        <w:jc w:val="both"/>
      </w:pPr>
      <w:r w:rsidRPr="00EA5AF0">
        <w:rPr>
          <w:i/>
          <w:iCs/>
        </w:rPr>
        <w:t>Withholding for Unpaid Wages and Liquidated Damages</w:t>
      </w:r>
      <w:r>
        <w:t xml:space="preserve">.  The </w:t>
      </w:r>
      <w:r w:rsidR="004D0C8E">
        <w:t>Unit</w:t>
      </w:r>
      <w:r w:rsidR="009E174C">
        <w:t xml:space="preserve"> shall upon its own action or upon written request of an authorized representative of the Department o</w:t>
      </w:r>
      <w:r w:rsidR="00635489">
        <w:t>f</w:t>
      </w:r>
      <w:r w:rsidR="009E174C">
        <w:t xml:space="preserve"> Labor withhold or cause to be withheld, from any moneys payable on account of work performed by </w:t>
      </w:r>
      <w:r w:rsidR="004D0C8E">
        <w:t>Contractor</w:t>
      </w:r>
      <w:r w:rsidR="009E174C">
        <w:t xml:space="preserve"> or </w:t>
      </w:r>
      <w:r w:rsidR="008C55F1">
        <w:t>Subcontractor</w:t>
      </w:r>
      <w:r w:rsidR="009E174C">
        <w:t xml:space="preserve"> under any such contract or any other federal contract with the same prime </w:t>
      </w:r>
      <w:r w:rsidR="007F2671">
        <w:t xml:space="preserve">contractor, or any other federally-assisted contract subject to the Contract Work Hours and Safety Standards Act, which is held by the same prime contractor, such sums as may be determined to be necessary to satisfy any liabilities of such </w:t>
      </w:r>
      <w:r w:rsidR="008C55F1">
        <w:t>Contractor</w:t>
      </w:r>
      <w:r w:rsidR="007F2671">
        <w:t xml:space="preserve"> or </w:t>
      </w:r>
      <w:r w:rsidR="008C55F1">
        <w:t>Subcontractor</w:t>
      </w:r>
      <w:r w:rsidR="007F2671">
        <w:t xml:space="preserve"> for unpaid wages and liquidated damages as provided in </w:t>
      </w:r>
      <w:r w:rsidR="003D054A" w:rsidRPr="001D506D">
        <w:rPr>
          <w:u w:val="single"/>
        </w:rPr>
        <w:t xml:space="preserve">Section </w:t>
      </w:r>
      <w:r w:rsidR="0095238D" w:rsidRPr="001D506D">
        <w:rPr>
          <w:u w:val="single"/>
        </w:rPr>
        <w:t>[</w:t>
      </w:r>
      <w:r w:rsidR="003D054A" w:rsidRPr="001D506D">
        <w:rPr>
          <w:u w:val="single"/>
        </w:rPr>
        <w:t>IV(b)</w:t>
      </w:r>
      <w:r w:rsidR="0095238D" w:rsidRPr="001D506D">
        <w:rPr>
          <w:u w:val="single"/>
        </w:rPr>
        <w:t>]</w:t>
      </w:r>
      <w:r w:rsidR="003D054A">
        <w:t xml:space="preserve"> (</w:t>
      </w:r>
      <w:r w:rsidR="007F2671" w:rsidRPr="00EA5AF0">
        <w:rPr>
          <w:i/>
          <w:iCs/>
        </w:rPr>
        <w:t>Violation; Liability for Unpaid Wages; Liquidated Damage</w:t>
      </w:r>
      <w:r w:rsidR="007F2671">
        <w:t>s</w:t>
      </w:r>
      <w:r w:rsidR="003D054A">
        <w:t>)</w:t>
      </w:r>
      <w:r w:rsidR="007F2671">
        <w:t xml:space="preserve"> of this section.</w:t>
      </w:r>
    </w:p>
    <w:p w14:paraId="269B5FF8" w14:textId="77777777" w:rsidR="00EA5AF0" w:rsidRDefault="00EA5AF0" w:rsidP="00EA5AF0">
      <w:pPr>
        <w:pStyle w:val="ListParagraph"/>
        <w:ind w:left="900"/>
        <w:jc w:val="both"/>
      </w:pPr>
    </w:p>
    <w:p w14:paraId="07A377FA" w14:textId="78B420A1" w:rsidR="004F0704" w:rsidRDefault="007F2671" w:rsidP="004F0704">
      <w:pPr>
        <w:pStyle w:val="ListParagraph"/>
        <w:numPr>
          <w:ilvl w:val="1"/>
          <w:numId w:val="2"/>
        </w:numPr>
        <w:jc w:val="both"/>
      </w:pPr>
      <w:r w:rsidRPr="00EA5AF0">
        <w:rPr>
          <w:i/>
          <w:iCs/>
        </w:rPr>
        <w:t>Subcontracts</w:t>
      </w:r>
      <w:r w:rsidR="003F43B2">
        <w:t xml:space="preserve">.  </w:t>
      </w:r>
      <w:r w:rsidR="004D0C8E">
        <w:t>Contractor</w:t>
      </w:r>
      <w:r w:rsidR="003F43B2">
        <w:t xml:space="preserve"> or </w:t>
      </w:r>
      <w:r w:rsidR="008C55F1">
        <w:t>S</w:t>
      </w:r>
      <w:r w:rsidR="003F43B2">
        <w:t xml:space="preserve">ubcontractor shall insert in any </w:t>
      </w:r>
      <w:r w:rsidR="007D429D">
        <w:t>Subcontract</w:t>
      </w:r>
      <w:r w:rsidR="003F43B2">
        <w:t xml:space="preserve"> the clauses set forth in Sections </w:t>
      </w:r>
      <w:r w:rsidR="00401812">
        <w:t>IV</w:t>
      </w:r>
      <w:r w:rsidR="003F43B2">
        <w:t>(</w:t>
      </w:r>
      <w:r w:rsidR="00401812">
        <w:t>a</w:t>
      </w:r>
      <w:r w:rsidR="003F43B2">
        <w:t>)</w:t>
      </w:r>
      <w:r w:rsidR="00E72F76">
        <w:t xml:space="preserve"> through </w:t>
      </w:r>
      <w:r w:rsidR="00401812">
        <w:t>IV</w:t>
      </w:r>
      <w:r w:rsidR="003F43B2">
        <w:t>(</w:t>
      </w:r>
      <w:r w:rsidR="00401812">
        <w:t>d</w:t>
      </w:r>
      <w:r w:rsidR="003F43B2">
        <w:t xml:space="preserve">) </w:t>
      </w:r>
      <w:proofErr w:type="gramStart"/>
      <w:r w:rsidR="0003760B">
        <w:t>and also</w:t>
      </w:r>
      <w:proofErr w:type="gramEnd"/>
      <w:r w:rsidR="0003760B">
        <w:t xml:space="preserve"> a clause requiring the </w:t>
      </w:r>
      <w:r w:rsidR="007D429D">
        <w:t>S</w:t>
      </w:r>
      <w:r w:rsidR="0003760B">
        <w:t xml:space="preserve">ubcontractors to </w:t>
      </w:r>
      <w:r w:rsidR="0003760B">
        <w:lastRenderedPageBreak/>
        <w:t xml:space="preserve">include these clauses in any lower tier </w:t>
      </w:r>
      <w:r w:rsidR="007D429D">
        <w:t>S</w:t>
      </w:r>
      <w:r w:rsidR="0003760B">
        <w:t xml:space="preserve">ubcontracts.  </w:t>
      </w:r>
      <w:r w:rsidR="007D429D">
        <w:t>Contractor</w:t>
      </w:r>
      <w:r w:rsidR="0003760B">
        <w:t xml:space="preserve"> shall be responsible for compliance by any</w:t>
      </w:r>
      <w:r w:rsidR="007D429D">
        <w:t xml:space="preserve"> first tier</w:t>
      </w:r>
      <w:r w:rsidR="0003760B">
        <w:t xml:space="preserve"> </w:t>
      </w:r>
      <w:r w:rsidR="007D429D">
        <w:t>Subcontractor</w:t>
      </w:r>
      <w:r w:rsidR="0003760B">
        <w:t xml:space="preserve"> or lower tier </w:t>
      </w:r>
      <w:r w:rsidR="007D429D">
        <w:t>S</w:t>
      </w:r>
      <w:r w:rsidR="0003760B">
        <w:t xml:space="preserve">ubcontractor with the clauses set forth in </w:t>
      </w:r>
      <w:r w:rsidR="0003760B" w:rsidRPr="006A081B">
        <w:rPr>
          <w:u w:val="single"/>
        </w:rPr>
        <w:t xml:space="preserve">Sections </w:t>
      </w:r>
      <w:r w:rsidR="00E72F76" w:rsidRPr="006A081B">
        <w:rPr>
          <w:u w:val="single"/>
        </w:rPr>
        <w:t>IV(a)</w:t>
      </w:r>
      <w:r w:rsidR="00E72F76">
        <w:t xml:space="preserve"> through </w:t>
      </w:r>
      <w:r w:rsidR="00E72F76" w:rsidRPr="006A081B">
        <w:rPr>
          <w:u w:val="single"/>
        </w:rPr>
        <w:t>IV(d)</w:t>
      </w:r>
      <w:r w:rsidR="0003760B">
        <w:t>.</w:t>
      </w:r>
    </w:p>
    <w:p w14:paraId="649BB378" w14:textId="77777777" w:rsidR="004F0704" w:rsidRPr="004F0704" w:rsidRDefault="004F0704" w:rsidP="004F0704">
      <w:pPr>
        <w:pStyle w:val="ListParagraph"/>
        <w:ind w:left="900"/>
        <w:jc w:val="both"/>
      </w:pPr>
    </w:p>
    <w:p w14:paraId="00200142" w14:textId="06B8E8C0" w:rsidR="004A2885" w:rsidRPr="0078614E" w:rsidRDefault="004F0704" w:rsidP="0078614E">
      <w:pPr>
        <w:pStyle w:val="ListParagraph"/>
        <w:numPr>
          <w:ilvl w:val="1"/>
          <w:numId w:val="2"/>
        </w:numPr>
        <w:jc w:val="both"/>
      </w:pPr>
      <w:r w:rsidRPr="0078614E">
        <w:rPr>
          <w:i/>
          <w:iCs/>
        </w:rPr>
        <w:t>Payroll and Records.</w:t>
      </w:r>
      <w:r w:rsidRPr="0078614E">
        <w:t xml:space="preserve">  </w:t>
      </w:r>
      <w:r w:rsidR="004D0C8E" w:rsidRPr="0078614E">
        <w:t>Contractor</w:t>
      </w:r>
      <w:r w:rsidR="0003760B" w:rsidRPr="0078614E">
        <w:t xml:space="preserve"> or </w:t>
      </w:r>
      <w:r w:rsidR="007D429D">
        <w:t>S</w:t>
      </w:r>
      <w:r w:rsidR="0003760B" w:rsidRPr="0078614E">
        <w:t xml:space="preserve">ubcontractor shall maintain payrolls and basic payroll records </w:t>
      </w:r>
      <w:proofErr w:type="gramStart"/>
      <w:r w:rsidR="0003760B" w:rsidRPr="0078614E">
        <w:t>during the course of</w:t>
      </w:r>
      <w:proofErr w:type="gramEnd"/>
      <w:r w:rsidR="0003760B" w:rsidRPr="0078614E">
        <w:t xml:space="preserve"> the work and shall preserve them for a period of three years from the completion of the </w:t>
      </w:r>
      <w:r w:rsidR="00680954" w:rsidRPr="0078614E">
        <w:t>C</w:t>
      </w:r>
      <w:r w:rsidR="0003760B" w:rsidRPr="0078614E">
        <w:t xml:space="preserve">ontract for all </w:t>
      </w:r>
      <w:r w:rsidR="00E72F76">
        <w:t>L</w:t>
      </w:r>
      <w:r w:rsidR="0003760B" w:rsidRPr="0078614E">
        <w:t xml:space="preserve">aborers and </w:t>
      </w:r>
      <w:r w:rsidR="00E72F76">
        <w:t>M</w:t>
      </w:r>
      <w:r w:rsidR="004D0C8E" w:rsidRPr="0078614E">
        <w:t>e</w:t>
      </w:r>
      <w:r w:rsidR="0003760B" w:rsidRPr="0078614E">
        <w:t xml:space="preserve">chanics, including guards and watchmen, working on the </w:t>
      </w:r>
      <w:r w:rsidR="00680954" w:rsidRPr="0078614E">
        <w:t>C</w:t>
      </w:r>
      <w:r w:rsidR="0003760B" w:rsidRPr="0078614E">
        <w:t>ontract.  Such records shall contain the name and address of each such employee, social security number, correct classifications, hourly rates of wages paid, daily and weekly number of hours worked, deductions made, and actual wages paid.</w:t>
      </w:r>
      <w:r w:rsidR="0078614E" w:rsidRPr="0078614E">
        <w:t xml:space="preserve">  </w:t>
      </w:r>
      <w:r w:rsidR="004A2885" w:rsidRPr="0078614E">
        <w:t xml:space="preserve">Records to be maintained under this provision shall be made available by </w:t>
      </w:r>
      <w:r w:rsidR="006D7A4D">
        <w:t>C</w:t>
      </w:r>
      <w:r w:rsidR="004A2885" w:rsidRPr="0078614E">
        <w:t xml:space="preserve">ontractor or </w:t>
      </w:r>
      <w:r w:rsidR="006D7A4D">
        <w:t>S</w:t>
      </w:r>
      <w:r w:rsidR="004A2885" w:rsidRPr="0078614E">
        <w:t xml:space="preserve">ubcontractor for inspection, copying, or transcription by authorized representatives of the </w:t>
      </w:r>
      <w:r w:rsidR="0067590C" w:rsidRPr="0078614E">
        <w:t>Department of the Treasury and</w:t>
      </w:r>
      <w:r w:rsidR="004A2885" w:rsidRPr="0078614E">
        <w:t xml:space="preserve"> the </w:t>
      </w:r>
      <w:r w:rsidR="0067590C" w:rsidRPr="0078614E">
        <w:t xml:space="preserve">U.S. </w:t>
      </w:r>
      <w:r w:rsidR="004A2885" w:rsidRPr="0078614E">
        <w:t xml:space="preserve">Department of Labor, and </w:t>
      </w:r>
      <w:r w:rsidR="0078614E">
        <w:t>C</w:t>
      </w:r>
      <w:r w:rsidR="004A2885" w:rsidRPr="0078614E">
        <w:t xml:space="preserve">ontractor or </w:t>
      </w:r>
      <w:r w:rsidR="006D7A4D">
        <w:t>S</w:t>
      </w:r>
      <w:r w:rsidR="004A2885" w:rsidRPr="0078614E">
        <w:t>ubcontractor will permit such representatives to interview employees during working hours on the job.</w:t>
      </w:r>
    </w:p>
    <w:p w14:paraId="2E860E58" w14:textId="77777777" w:rsidR="006C63DD" w:rsidRDefault="006C63DD" w:rsidP="00BD443F">
      <w:pPr>
        <w:pStyle w:val="ListParagraph"/>
        <w:jc w:val="both"/>
      </w:pPr>
    </w:p>
    <w:p w14:paraId="009F299E" w14:textId="41F2192A" w:rsidR="0095238D" w:rsidRDefault="006C63DD" w:rsidP="0095238D">
      <w:pPr>
        <w:pStyle w:val="ListParagraph"/>
        <w:numPr>
          <w:ilvl w:val="1"/>
          <w:numId w:val="2"/>
        </w:numPr>
        <w:jc w:val="both"/>
      </w:pPr>
      <w:r>
        <w:rPr>
          <w:i/>
          <w:iCs/>
        </w:rPr>
        <w:t>Exceptions</w:t>
      </w:r>
      <w:r w:rsidR="0095238D">
        <w:t>.</w:t>
      </w:r>
      <w:r>
        <w:rPr>
          <w:i/>
          <w:iCs/>
        </w:rPr>
        <w:t xml:space="preserve"> </w:t>
      </w:r>
      <w:r w:rsidR="0095238D">
        <w:rPr>
          <w:i/>
          <w:iCs/>
        </w:rPr>
        <w:t xml:space="preserve"> </w:t>
      </w:r>
      <w:r w:rsidR="00023C28">
        <w:t xml:space="preserve">None of the requirements of </w:t>
      </w:r>
      <w:r w:rsidR="0095238D" w:rsidRPr="001D506D">
        <w:rPr>
          <w:u w:val="single"/>
        </w:rPr>
        <w:t xml:space="preserve">Section </w:t>
      </w:r>
      <w:r w:rsidR="007D429D" w:rsidRPr="001D506D">
        <w:rPr>
          <w:u w:val="single"/>
        </w:rPr>
        <w:t>[</w:t>
      </w:r>
      <w:r w:rsidR="0095238D" w:rsidRPr="001D506D">
        <w:rPr>
          <w:u w:val="single"/>
        </w:rPr>
        <w:t>IV</w:t>
      </w:r>
      <w:r w:rsidR="007D429D" w:rsidRPr="001D506D">
        <w:rPr>
          <w:u w:val="single"/>
        </w:rPr>
        <w:t>]</w:t>
      </w:r>
      <w:r w:rsidR="0095238D">
        <w:t xml:space="preserve"> of this </w:t>
      </w:r>
      <w:r w:rsidR="00BF0705">
        <w:t>Addendum</w:t>
      </w:r>
      <w:r w:rsidR="0095238D">
        <w:t xml:space="preserve"> shall </w:t>
      </w:r>
      <w:r w:rsidR="00023C28">
        <w:t>apply if</w:t>
      </w:r>
      <w:r w:rsidR="0095238D">
        <w:t xml:space="preserve"> this Contract is (1) a </w:t>
      </w:r>
      <w:r w:rsidR="0095238D" w:rsidRPr="00381940">
        <w:t>Contract</w:t>
      </w:r>
      <w:r w:rsidR="0095238D">
        <w:t xml:space="preserve"> for (i) transportation by land, air, or water; (ii) the transmission of intelligence, (iii) the purchase of supplies or materials or articles ordinarily available in the open market, or (iv) in an amount that is equal to or less than $100,000.</w:t>
      </w:r>
      <w:r w:rsidR="00E72F76">
        <w:rPr>
          <w:rStyle w:val="FootnoteReference"/>
        </w:rPr>
        <w:footnoteReference w:id="29"/>
      </w:r>
      <w:r w:rsidR="0095238D">
        <w:t xml:space="preserve"> </w:t>
      </w:r>
    </w:p>
    <w:p w14:paraId="5B4294BA" w14:textId="77777777" w:rsidR="005759DF" w:rsidRDefault="005759DF" w:rsidP="00BB514B">
      <w:pPr>
        <w:pStyle w:val="ListParagraph"/>
        <w:ind w:left="1800"/>
        <w:jc w:val="both"/>
      </w:pPr>
    </w:p>
    <w:p w14:paraId="66D8A30E" w14:textId="77777777" w:rsidR="00A67B2D" w:rsidRPr="002E5AC4" w:rsidRDefault="00185C93" w:rsidP="00A67B2D">
      <w:pPr>
        <w:pStyle w:val="ListParagraph"/>
        <w:numPr>
          <w:ilvl w:val="0"/>
          <w:numId w:val="2"/>
        </w:numPr>
        <w:jc w:val="both"/>
      </w:pPr>
      <w:r>
        <w:rPr>
          <w:b/>
          <w:bCs/>
          <w:i/>
          <w:iCs/>
          <w:u w:val="single"/>
        </w:rPr>
        <w:t>Rights to Inventions Made Under a Contract or Agreement</w:t>
      </w:r>
      <w:bookmarkStart w:id="1" w:name="_Ref98250816"/>
      <w:r w:rsidR="00A67B2D" w:rsidRPr="00A67B2D">
        <w:rPr>
          <w:rStyle w:val="FootnoteReference"/>
        </w:rPr>
        <w:footnoteReference w:id="30"/>
      </w:r>
      <w:bookmarkEnd w:id="1"/>
    </w:p>
    <w:p w14:paraId="30037389" w14:textId="77777777" w:rsidR="00C96828" w:rsidRDefault="00C96828" w:rsidP="00C96828">
      <w:pPr>
        <w:pStyle w:val="ListParagraph"/>
        <w:ind w:left="360"/>
        <w:jc w:val="both"/>
        <w:rPr>
          <w:b/>
          <w:bCs/>
          <w:i/>
          <w:iCs/>
          <w:u w:val="single"/>
        </w:rPr>
      </w:pPr>
    </w:p>
    <w:p w14:paraId="72706A37" w14:textId="13A63430" w:rsidR="00D462FC" w:rsidRPr="009F6CAE" w:rsidRDefault="00D462FC" w:rsidP="00B212D3">
      <w:pPr>
        <w:pStyle w:val="ListParagraph"/>
        <w:numPr>
          <w:ilvl w:val="1"/>
          <w:numId w:val="2"/>
        </w:numPr>
        <w:ind w:left="1440" w:hanging="540"/>
        <w:jc w:val="both"/>
        <w:rPr>
          <w:b/>
          <w:bCs/>
          <w:i/>
          <w:iCs/>
          <w:u w:val="single"/>
        </w:rPr>
      </w:pPr>
      <w:r w:rsidRPr="009F6CAE">
        <w:t xml:space="preserve">The Government reserves a royalty-free, </w:t>
      </w:r>
      <w:proofErr w:type="gramStart"/>
      <w:r w:rsidRPr="009F6CAE">
        <w:t>non-exclusive</w:t>
      </w:r>
      <w:proofErr w:type="gramEnd"/>
      <w:r w:rsidRPr="009F6CAE">
        <w:t xml:space="preserve"> and irrevocable license to </w:t>
      </w:r>
      <w:r w:rsidR="0032134E" w:rsidRPr="009F6CAE">
        <w:t>reproduce</w:t>
      </w:r>
      <w:r w:rsidRPr="009F6CAE">
        <w:t>, publish, or otherwise use, and to authorize others to use for “Government Purposes”, any subject data or copyright described below.</w:t>
      </w:r>
      <w:r w:rsidR="00252B73" w:rsidRPr="009F6CAE">
        <w:rPr>
          <w:rStyle w:val="FootnoteReference"/>
        </w:rPr>
        <w:footnoteReference w:id="31"/>
      </w:r>
      <w:r w:rsidRPr="009F6CAE">
        <w:t xml:space="preserve">  “Government Purposes,” </w:t>
      </w:r>
      <w:r w:rsidRPr="009F6CAE">
        <w:lastRenderedPageBreak/>
        <w:t xml:space="preserve">means use only for the direct purposes of the Government.  Without the copyright owner’s consent, the Government may not extend its </w:t>
      </w:r>
      <w:proofErr w:type="gramStart"/>
      <w:r w:rsidRPr="009F6CAE">
        <w:t>Federal</w:t>
      </w:r>
      <w:proofErr w:type="gramEnd"/>
      <w:r w:rsidRPr="009F6CAE">
        <w:t xml:space="preserve"> license to any other party.</w:t>
      </w:r>
      <w:r w:rsidR="00627A76" w:rsidRPr="009F6CAE">
        <w:t xml:space="preserve">  </w:t>
      </w:r>
    </w:p>
    <w:p w14:paraId="2E1F29B2" w14:textId="77777777" w:rsidR="00627A76" w:rsidRPr="009F6CAE" w:rsidRDefault="00627A76" w:rsidP="00627A76">
      <w:pPr>
        <w:pStyle w:val="ListParagraph"/>
        <w:ind w:left="1440"/>
        <w:jc w:val="both"/>
        <w:rPr>
          <w:b/>
          <w:bCs/>
          <w:i/>
          <w:iCs/>
          <w:u w:val="single"/>
        </w:rPr>
      </w:pPr>
    </w:p>
    <w:p w14:paraId="33E31E5B" w14:textId="600A6B70" w:rsidR="00627A76" w:rsidRPr="009F6CAE" w:rsidRDefault="001522F0" w:rsidP="001522F0">
      <w:pPr>
        <w:pStyle w:val="ListParagraph"/>
        <w:numPr>
          <w:ilvl w:val="2"/>
          <w:numId w:val="2"/>
        </w:numPr>
        <w:jc w:val="both"/>
        <w:rPr>
          <w:b/>
          <w:bCs/>
          <w:i/>
          <w:iCs/>
          <w:u w:val="single"/>
        </w:rPr>
      </w:pPr>
      <w:r w:rsidRPr="009F6CAE">
        <w:t xml:space="preserve">Any subject data developed under the Contract, </w:t>
      </w:r>
      <w:proofErr w:type="gramStart"/>
      <w:r w:rsidRPr="009F6CAE">
        <w:t>whether or not</w:t>
      </w:r>
      <w:proofErr w:type="gramEnd"/>
      <w:r w:rsidRPr="009F6CAE">
        <w:t xml:space="preserve"> a copyright has been obtained; and</w:t>
      </w:r>
    </w:p>
    <w:p w14:paraId="0AC8959C" w14:textId="77777777" w:rsidR="00C14899" w:rsidRPr="009F6CAE" w:rsidRDefault="00C14899" w:rsidP="00C14899">
      <w:pPr>
        <w:pStyle w:val="ListParagraph"/>
        <w:ind w:left="1800"/>
        <w:jc w:val="both"/>
        <w:rPr>
          <w:b/>
          <w:bCs/>
          <w:i/>
          <w:iCs/>
          <w:u w:val="single"/>
        </w:rPr>
      </w:pPr>
    </w:p>
    <w:p w14:paraId="6BAD5C1F" w14:textId="1B3BD83B" w:rsidR="00630418" w:rsidRPr="009F6CAE" w:rsidRDefault="001522F0" w:rsidP="00630418">
      <w:pPr>
        <w:pStyle w:val="ListParagraph"/>
        <w:numPr>
          <w:ilvl w:val="2"/>
          <w:numId w:val="2"/>
        </w:numPr>
        <w:jc w:val="both"/>
        <w:rPr>
          <w:b/>
          <w:bCs/>
          <w:i/>
          <w:iCs/>
          <w:u w:val="single"/>
        </w:rPr>
      </w:pPr>
      <w:r w:rsidRPr="009F6CAE">
        <w:t>Any rights of copyright purchased by Contractor using Federal assistance</w:t>
      </w:r>
      <w:r w:rsidR="00BA151B" w:rsidRPr="009F6CAE">
        <w:t xml:space="preserve"> funded</w:t>
      </w:r>
      <w:r w:rsidRPr="009F6CAE">
        <w:t xml:space="preserve"> in whole or in part by the Department of the Treasury.</w:t>
      </w:r>
    </w:p>
    <w:p w14:paraId="3C1AD57C" w14:textId="77777777" w:rsidR="00630418" w:rsidRPr="009F6CAE" w:rsidRDefault="00630418" w:rsidP="00630418">
      <w:pPr>
        <w:pStyle w:val="ListParagraph"/>
        <w:ind w:left="1260"/>
        <w:jc w:val="both"/>
        <w:rPr>
          <w:b/>
          <w:bCs/>
          <w:i/>
          <w:iCs/>
          <w:u w:val="single"/>
        </w:rPr>
      </w:pPr>
    </w:p>
    <w:p w14:paraId="6CA3A7A9" w14:textId="0D52C592" w:rsidR="002E5AC4" w:rsidRPr="009F6CAE" w:rsidRDefault="002E5AC4" w:rsidP="00630418">
      <w:pPr>
        <w:pStyle w:val="ListParagraph"/>
        <w:numPr>
          <w:ilvl w:val="1"/>
          <w:numId w:val="2"/>
        </w:numPr>
        <w:jc w:val="both"/>
        <w:rPr>
          <w:b/>
          <w:bCs/>
          <w:i/>
          <w:iCs/>
          <w:u w:val="single"/>
        </w:rPr>
      </w:pPr>
      <w:r w:rsidRPr="009F6CAE">
        <w:t>Unless the Department of the Treasury determines otherwise,</w:t>
      </w:r>
      <w:r w:rsidR="00C14899" w:rsidRPr="009F6CAE">
        <w:t xml:space="preserve"> a</w:t>
      </w:r>
      <w:r w:rsidRPr="009F6CAE">
        <w:t xml:space="preserve"> Contractor performing experimental, developmental, or research work required as part of this Contract agrees to permit the Department of the Treasury to make available to the public, either </w:t>
      </w:r>
      <w:r w:rsidR="00630418" w:rsidRPr="009F6CAE">
        <w:t>the Department of the Treasury’s</w:t>
      </w:r>
      <w:r w:rsidRPr="009F6CAE">
        <w:t xml:space="preserve"> license in the copyright to any subject data developed in the course of the Contract, or a copy of the subject data first produced under the Contract for which a copyright has not been obtained. If the experimental, developmental, or research work, which is the subject of this Contract, is not completed for any reason whatsoever, all data developed under the Contract shall become subject data as defined herein and shall be delivered as the Federal Government may direct. </w:t>
      </w:r>
    </w:p>
    <w:p w14:paraId="71E48167" w14:textId="77777777" w:rsidR="002E5AC4" w:rsidRPr="009F6CAE" w:rsidRDefault="002E5AC4" w:rsidP="002E5AC4">
      <w:pPr>
        <w:pStyle w:val="ListParagraph"/>
        <w:ind w:left="1260"/>
        <w:jc w:val="both"/>
      </w:pPr>
    </w:p>
    <w:p w14:paraId="065AA949" w14:textId="6F3CD12C" w:rsidR="002E5AC4" w:rsidRPr="009F6CAE" w:rsidRDefault="002E5AC4" w:rsidP="002E5AC4">
      <w:pPr>
        <w:pStyle w:val="ListParagraph"/>
        <w:numPr>
          <w:ilvl w:val="1"/>
          <w:numId w:val="2"/>
        </w:numPr>
        <w:jc w:val="both"/>
      </w:pPr>
      <w:r w:rsidRPr="009F6CAE">
        <w:t xml:space="preserve">Unless prohibited by North Carolina law, upon request by the Government, Contractor agrees to indemnify, save, and hold harmless the Government, its officers, agents, and employees acting within the scope of their official duties against any liability, including costs and expenses, resulting from any willful or intentional violation by Contractor of proprietary rights, copyrights, or right of privacy, arising out of the publication, translation, reproduction, delivery, use, or disposition of any data furnished under </w:t>
      </w:r>
      <w:r w:rsidR="007476D0">
        <w:t>the</w:t>
      </w:r>
      <w:r w:rsidRPr="009F6CAE">
        <w:t xml:space="preserve"> </w:t>
      </w:r>
      <w:r w:rsidR="007476D0">
        <w:t>C</w:t>
      </w:r>
      <w:r w:rsidRPr="009F6CAE">
        <w:t xml:space="preserve">ontract. Contractor shall be required to indemnify the Government for any such liability arising out of the wrongful act of any employee, official, or agent of the </w:t>
      </w:r>
      <w:r w:rsidR="003E4F36" w:rsidRPr="009F6CAE">
        <w:t>Contractor</w:t>
      </w:r>
      <w:r w:rsidR="00BA151B" w:rsidRPr="009F6CAE">
        <w:t>.</w:t>
      </w:r>
    </w:p>
    <w:p w14:paraId="6954892A" w14:textId="77777777" w:rsidR="002E5AC4" w:rsidRPr="009F6CAE" w:rsidRDefault="002E5AC4" w:rsidP="002E5AC4">
      <w:pPr>
        <w:pStyle w:val="ListParagraph"/>
        <w:ind w:left="1260"/>
        <w:jc w:val="both"/>
      </w:pPr>
    </w:p>
    <w:p w14:paraId="35D84C50" w14:textId="11E4DBF2" w:rsidR="002E5AC4" w:rsidRPr="009F6CAE" w:rsidRDefault="002E5AC4" w:rsidP="002E5AC4">
      <w:pPr>
        <w:pStyle w:val="ListParagraph"/>
        <w:numPr>
          <w:ilvl w:val="1"/>
          <w:numId w:val="2"/>
        </w:numPr>
        <w:jc w:val="both"/>
      </w:pPr>
      <w:r w:rsidRPr="009F6CAE">
        <w:t>Nothing contained in this clause shall imply a license to the Federal Government under any patent or be construed as affecting the scope of any license or other right otherwise granted to the Federal Government under any patent.</w:t>
      </w:r>
    </w:p>
    <w:p w14:paraId="4CFA4453" w14:textId="77777777" w:rsidR="002E5AC4" w:rsidRPr="009F6CAE" w:rsidRDefault="002E5AC4" w:rsidP="002E5AC4">
      <w:pPr>
        <w:pStyle w:val="ListParagraph"/>
        <w:ind w:left="1260"/>
        <w:jc w:val="both"/>
      </w:pPr>
    </w:p>
    <w:p w14:paraId="1DC82A82" w14:textId="764F8895" w:rsidR="002E5AC4" w:rsidRPr="009F6CAE" w:rsidRDefault="002E5AC4" w:rsidP="002E5AC4">
      <w:pPr>
        <w:pStyle w:val="ListParagraph"/>
        <w:numPr>
          <w:ilvl w:val="1"/>
          <w:numId w:val="2"/>
        </w:numPr>
        <w:jc w:val="both"/>
      </w:pPr>
      <w:r w:rsidRPr="009F6CAE">
        <w:t xml:space="preserve">Data developed by the Contractor and financed entirely without using Federal assistance provided by the Federal Government that has been incorporated into work required by the underlying Contract is exempt from the requirements herein, provided that the Contractor identifies those data in writing at the time of delivery of the Contract work.  The Contractor agrees to include these requirements in each </w:t>
      </w:r>
      <w:r w:rsidR="002F55FD" w:rsidRPr="009F6CAE">
        <w:t>S</w:t>
      </w:r>
      <w:r w:rsidRPr="009F6CAE">
        <w:t>ubcontract for experimental, developmental, or research work financed in whole or in part with Federal assistance</w:t>
      </w:r>
      <w:r w:rsidR="003E4F36" w:rsidRPr="009F6CAE">
        <w:t>.</w:t>
      </w:r>
    </w:p>
    <w:p w14:paraId="145C7339" w14:textId="77777777" w:rsidR="00145FB2" w:rsidRPr="009F6CAE" w:rsidRDefault="00145FB2" w:rsidP="00145FB2">
      <w:pPr>
        <w:pStyle w:val="ListParagraph"/>
        <w:ind w:left="1260"/>
        <w:jc w:val="both"/>
      </w:pPr>
    </w:p>
    <w:p w14:paraId="63E74494" w14:textId="4B5E4911" w:rsidR="00145FB2" w:rsidRPr="009F6CAE" w:rsidRDefault="00145FB2" w:rsidP="002E5AC4">
      <w:pPr>
        <w:pStyle w:val="ListParagraph"/>
        <w:numPr>
          <w:ilvl w:val="1"/>
          <w:numId w:val="2"/>
        </w:numPr>
        <w:jc w:val="both"/>
      </w:pPr>
      <w:r w:rsidRPr="009F6CAE">
        <w:t xml:space="preserve">For the purposes of this </w:t>
      </w:r>
      <w:r w:rsidRPr="009F6CAE">
        <w:rPr>
          <w:u w:val="single"/>
        </w:rPr>
        <w:t>Section V</w:t>
      </w:r>
      <w:r w:rsidRPr="009F6CAE">
        <w:t xml:space="preserve">, “subject data” means </w:t>
      </w:r>
      <w:r w:rsidR="00736C8E" w:rsidRPr="009F6CAE">
        <w:t>“recorded information, whether or not copyrighted, and that is delivered or</w:t>
      </w:r>
      <w:r w:rsidR="00DF4E86" w:rsidRPr="009F6CAE">
        <w:t xml:space="preserve"> specified to be delivered as required by the Cont</w:t>
      </w:r>
      <w:r w:rsidR="00381625">
        <w:t>r</w:t>
      </w:r>
      <w:r w:rsidR="00DF4E86" w:rsidRPr="009F6CAE">
        <w:t xml:space="preserve">act.”  Examples of </w:t>
      </w:r>
      <w:r w:rsidR="00335E73">
        <w:t>“</w:t>
      </w:r>
      <w:r w:rsidR="00DF4E86" w:rsidRPr="009F6CAE">
        <w:t>subject data</w:t>
      </w:r>
      <w:r w:rsidR="00335E73">
        <w:t>”</w:t>
      </w:r>
      <w:r w:rsidR="00DF4E86" w:rsidRPr="009F6CAE">
        <w:t xml:space="preserve"> include, but are not limited to computer software, standards, specifications, engineering drawings and associated lists, process sheets, manuals, </w:t>
      </w:r>
      <w:r w:rsidR="00DF4E86" w:rsidRPr="009F6CAE">
        <w:lastRenderedPageBreak/>
        <w:t>technical reports, catalog item identifications, and related information, but do not include financial reports, cost analyses or other similar information used for performance or administration of the Contract.”</w:t>
      </w:r>
    </w:p>
    <w:p w14:paraId="3D58A9BC" w14:textId="77777777" w:rsidR="002E5AC4" w:rsidRPr="002E5AC4" w:rsidRDefault="002E5AC4" w:rsidP="002E5AC4">
      <w:pPr>
        <w:pStyle w:val="ListParagraph"/>
        <w:ind w:left="1260"/>
        <w:jc w:val="both"/>
      </w:pPr>
    </w:p>
    <w:p w14:paraId="3B005D21" w14:textId="7B7232B3" w:rsidR="00115ACE" w:rsidRPr="005F5D52" w:rsidRDefault="00115ACE" w:rsidP="00BB514B">
      <w:pPr>
        <w:pStyle w:val="ListParagraph"/>
        <w:numPr>
          <w:ilvl w:val="0"/>
          <w:numId w:val="2"/>
        </w:numPr>
        <w:jc w:val="both"/>
        <w:rPr>
          <w:b/>
          <w:bCs/>
          <w:i/>
          <w:iCs/>
          <w:u w:val="single"/>
        </w:rPr>
      </w:pPr>
      <w:r w:rsidRPr="005F5D52">
        <w:rPr>
          <w:b/>
          <w:bCs/>
          <w:i/>
          <w:iCs/>
          <w:u w:val="single"/>
        </w:rPr>
        <w:t>Clean Air Act and Federal Water Pollution Control Act</w:t>
      </w:r>
      <w:r w:rsidR="009C7C21">
        <w:rPr>
          <w:rStyle w:val="FootnoteReference"/>
          <w:b/>
          <w:bCs/>
          <w:i/>
          <w:iCs/>
          <w:u w:val="single"/>
        </w:rPr>
        <w:footnoteReference w:id="32"/>
      </w:r>
    </w:p>
    <w:p w14:paraId="4B320533" w14:textId="77777777" w:rsidR="005C7C2B" w:rsidRPr="005C7C2B" w:rsidRDefault="005C7C2B" w:rsidP="005C7C2B">
      <w:pPr>
        <w:pStyle w:val="ListParagraph"/>
        <w:ind w:left="900"/>
        <w:jc w:val="both"/>
      </w:pPr>
    </w:p>
    <w:p w14:paraId="46104E07" w14:textId="6C2A2EEE" w:rsidR="005C7C2B" w:rsidRDefault="005C7C2B" w:rsidP="005C7C2B">
      <w:pPr>
        <w:pStyle w:val="ListParagraph"/>
        <w:numPr>
          <w:ilvl w:val="1"/>
          <w:numId w:val="2"/>
        </w:numPr>
        <w:jc w:val="both"/>
      </w:pPr>
      <w:r>
        <w:rPr>
          <w:i/>
          <w:iCs/>
        </w:rPr>
        <w:t>Clean Air Act</w:t>
      </w:r>
      <w:r>
        <w:t>.</w:t>
      </w:r>
      <w:r>
        <w:rPr>
          <w:i/>
          <w:iCs/>
        </w:rPr>
        <w:t xml:space="preserve">  </w:t>
      </w:r>
      <w:r w:rsidR="004D0C8E">
        <w:t>Contractor</w:t>
      </w:r>
      <w:r w:rsidR="00115ACE">
        <w:t xml:space="preserve"> agrees to comply with all applicable </w:t>
      </w:r>
      <w:r w:rsidR="009357E9">
        <w:t>standards</w:t>
      </w:r>
      <w:r w:rsidR="00115ACE">
        <w:t>, orders</w:t>
      </w:r>
      <w:r w:rsidR="009357E9">
        <w:t xml:space="preserve"> </w:t>
      </w:r>
      <w:r w:rsidR="008B6ED6">
        <w:t>and</w:t>
      </w:r>
      <w:r w:rsidR="009357E9">
        <w:t xml:space="preserve"> regulations issued pursuant to the Clean Air Act, as amended, 42 U.S.C. § 7401 </w:t>
      </w:r>
      <w:r w:rsidR="009357E9" w:rsidRPr="005C7C2B">
        <w:rPr>
          <w:i/>
          <w:iCs/>
        </w:rPr>
        <w:t>et seq.</w:t>
      </w:r>
      <w:r w:rsidR="009357E9">
        <w:t xml:space="preserve">  Contractor agrees to report each violation to </w:t>
      </w:r>
      <w:r w:rsidR="0065447E">
        <w:t>Unit</w:t>
      </w:r>
      <w:r w:rsidR="0080575C">
        <w:t xml:space="preserve"> and understands and agrees that </w:t>
      </w:r>
      <w:r w:rsidR="0065447E">
        <w:t>Unit</w:t>
      </w:r>
      <w:r w:rsidR="0080575C">
        <w:t xml:space="preserve"> will, in turn, report each </w:t>
      </w:r>
      <w:r w:rsidR="00AC599B">
        <w:t>violation as</w:t>
      </w:r>
      <w:r w:rsidR="0080575C">
        <w:t xml:space="preserve"> required to the </w:t>
      </w:r>
      <w:r w:rsidR="00AC599B">
        <w:t>U.S. Department of the Treasury</w:t>
      </w:r>
      <w:r w:rsidR="007B643F">
        <w:t xml:space="preserve"> and the appropriate Environmental Protection Agency Regional Office.  </w:t>
      </w:r>
      <w:r w:rsidR="00620B92">
        <w:t>C</w:t>
      </w:r>
      <w:r w:rsidR="007B643F">
        <w:t xml:space="preserve">ontractor agrees to include these requirements in each </w:t>
      </w:r>
      <w:r w:rsidR="0089562E">
        <w:t>S</w:t>
      </w:r>
      <w:r w:rsidR="007B643F">
        <w:t xml:space="preserve">ubcontract exceeding $150,000 financed in whole or in part with Federal assistance provided by </w:t>
      </w:r>
      <w:r w:rsidR="00D5770B">
        <w:t>the U.S. Department of the Treasury</w:t>
      </w:r>
      <w:r w:rsidR="007B643F">
        <w:t>.</w:t>
      </w:r>
    </w:p>
    <w:p w14:paraId="3CFA356C" w14:textId="77777777" w:rsidR="005C7C2B" w:rsidRDefault="005C7C2B" w:rsidP="005C7C2B">
      <w:pPr>
        <w:pStyle w:val="ListParagraph"/>
        <w:ind w:left="900"/>
        <w:jc w:val="both"/>
      </w:pPr>
    </w:p>
    <w:p w14:paraId="1F398BAA" w14:textId="6C67FB8D" w:rsidR="00E842B4" w:rsidRDefault="00C81659" w:rsidP="005C7C2B">
      <w:pPr>
        <w:pStyle w:val="ListParagraph"/>
        <w:numPr>
          <w:ilvl w:val="1"/>
          <w:numId w:val="2"/>
        </w:numPr>
        <w:jc w:val="both"/>
      </w:pPr>
      <w:r>
        <w:rPr>
          <w:i/>
          <w:iCs/>
        </w:rPr>
        <w:t xml:space="preserve">Federal Water Pollution Control Act. </w:t>
      </w:r>
      <w:r w:rsidR="002E2265">
        <w:t xml:space="preserve">Contractor agrees to comply with all applicable standards, orders, </w:t>
      </w:r>
      <w:r w:rsidR="008B6ED6">
        <w:t>and</w:t>
      </w:r>
      <w:r w:rsidR="002E2265">
        <w:t xml:space="preserve"> regulations issued pursuant to the </w:t>
      </w:r>
      <w:r w:rsidR="003032C5">
        <w:t>F</w:t>
      </w:r>
      <w:r w:rsidR="002E2265">
        <w:t xml:space="preserve">ederal Water Pollution Control Act, as amended, 33 U.S.C. § 1251 </w:t>
      </w:r>
      <w:r w:rsidR="002E2265" w:rsidRPr="005C7C2B">
        <w:rPr>
          <w:i/>
          <w:iCs/>
        </w:rPr>
        <w:t>et seq.</w:t>
      </w:r>
      <w:r w:rsidR="002E2265">
        <w:t xml:space="preserve">  Contractor agrees to report each violation to </w:t>
      </w:r>
      <w:r w:rsidR="003032C5">
        <w:t xml:space="preserve">Unit </w:t>
      </w:r>
      <w:r w:rsidR="002E2265">
        <w:t xml:space="preserve">and </w:t>
      </w:r>
      <w:r w:rsidR="00245576">
        <w:t xml:space="preserve">understands and agrees that </w:t>
      </w:r>
      <w:r w:rsidR="003032C5">
        <w:t>Unit</w:t>
      </w:r>
      <w:r w:rsidR="00245576">
        <w:t xml:space="preserve"> will, in turn, report each violation as required to assure notification to the U.S. Department of the Treasury and the appropriate Environm</w:t>
      </w:r>
      <w:r w:rsidR="00ED2ADB">
        <w:t xml:space="preserve">ental </w:t>
      </w:r>
      <w:r w:rsidR="007F4B15">
        <w:t xml:space="preserve">Protection Agency Regional Office.  Contractor agrees to include these requirements in each </w:t>
      </w:r>
      <w:r w:rsidR="00E600B8">
        <w:t>S</w:t>
      </w:r>
      <w:r w:rsidR="007F4B15">
        <w:t>ubcontract exceeding $150,000</w:t>
      </w:r>
      <w:r w:rsidR="00D6487B">
        <w:t xml:space="preserve"> financed in whole or in part with </w:t>
      </w:r>
      <w:r w:rsidR="00771FBB">
        <w:t>F</w:t>
      </w:r>
      <w:r w:rsidR="00D6487B">
        <w:t>ederal assistance provided by the U.S. Department of the Treasury.</w:t>
      </w:r>
    </w:p>
    <w:p w14:paraId="598DD56C" w14:textId="77777777" w:rsidR="00385A3C" w:rsidRDefault="00385A3C" w:rsidP="00385A3C">
      <w:pPr>
        <w:pStyle w:val="ListParagraph"/>
        <w:ind w:left="900"/>
        <w:jc w:val="both"/>
      </w:pPr>
    </w:p>
    <w:p w14:paraId="5EF21260" w14:textId="403F71C5" w:rsidR="00CA52E8" w:rsidRDefault="00D6487B" w:rsidP="00BB514B">
      <w:pPr>
        <w:pStyle w:val="ListParagraph"/>
        <w:numPr>
          <w:ilvl w:val="0"/>
          <w:numId w:val="2"/>
        </w:numPr>
        <w:jc w:val="both"/>
      </w:pPr>
      <w:r w:rsidRPr="005F5D52">
        <w:rPr>
          <w:b/>
          <w:bCs/>
          <w:i/>
          <w:iCs/>
          <w:u w:val="single"/>
        </w:rPr>
        <w:t>Debarment and Suspension</w:t>
      </w:r>
      <w:bookmarkStart w:id="2" w:name="_Ref98245958"/>
      <w:r w:rsidR="008C3472">
        <w:rPr>
          <w:rStyle w:val="FootnoteReference"/>
        </w:rPr>
        <w:footnoteReference w:id="33"/>
      </w:r>
      <w:bookmarkEnd w:id="2"/>
    </w:p>
    <w:p w14:paraId="27779115" w14:textId="77777777" w:rsidR="00CA52E8" w:rsidRDefault="00CA52E8" w:rsidP="00BB514B">
      <w:pPr>
        <w:pStyle w:val="ListParagraph"/>
        <w:ind w:left="360"/>
        <w:jc w:val="both"/>
      </w:pPr>
    </w:p>
    <w:p w14:paraId="770AFA93" w14:textId="6FB72676" w:rsidR="00E93087" w:rsidRDefault="001C251C" w:rsidP="00E93087">
      <w:pPr>
        <w:pStyle w:val="ListParagraph"/>
        <w:numPr>
          <w:ilvl w:val="1"/>
          <w:numId w:val="2"/>
        </w:numPr>
        <w:ind w:left="1080"/>
        <w:jc w:val="both"/>
      </w:pPr>
      <w:r>
        <w:t>D</w:t>
      </w:r>
      <w:r w:rsidR="00246701">
        <w:t>ue to its receipt of Fiscal Recovery Funds,</w:t>
      </w:r>
      <w:r w:rsidR="00FD32AA">
        <w:t xml:space="preserve"> </w:t>
      </w:r>
      <w:r w:rsidR="00857EE4">
        <w:t>Unit</w:t>
      </w:r>
      <w:r w:rsidR="000B4469">
        <w:t xml:space="preserve"> is a participant in </w:t>
      </w:r>
      <w:r w:rsidR="00344788">
        <w:t xml:space="preserve">a </w:t>
      </w:r>
      <w:proofErr w:type="spellStart"/>
      <w:r w:rsidR="00344788">
        <w:t>nonprocurement</w:t>
      </w:r>
      <w:proofErr w:type="spellEnd"/>
      <w:r w:rsidR="00344788">
        <w:t xml:space="preserve"> transaction </w:t>
      </w:r>
      <w:r w:rsidR="00931128">
        <w:t xml:space="preserve">(defined at 2 C.F.R. § </w:t>
      </w:r>
      <w:r w:rsidR="0074042C">
        <w:t>180.970</w:t>
      </w:r>
      <w:r w:rsidR="00931128">
        <w:t>)</w:t>
      </w:r>
      <w:r w:rsidR="00B03C9F">
        <w:t xml:space="preserve"> that is a covered transaction </w:t>
      </w:r>
      <w:r w:rsidR="004E37F2">
        <w:t xml:space="preserve">pursuant to </w:t>
      </w:r>
      <w:r w:rsidR="00EE474A">
        <w:t>2 C.F.R. § 180.210</w:t>
      </w:r>
      <w:r w:rsidR="000D10DC">
        <w:t xml:space="preserve"> and </w:t>
      </w:r>
      <w:r w:rsidR="00D87BA2">
        <w:t xml:space="preserve">31 C.F.R. § 19.210.  </w:t>
      </w:r>
      <w:r w:rsidR="00773DAC">
        <w:t>Therefore, this Contract is a</w:t>
      </w:r>
      <w:r w:rsidR="00B1396D">
        <w:t xml:space="preserve"> lower-tier</w:t>
      </w:r>
      <w:r w:rsidR="00773DAC">
        <w:t xml:space="preserve"> covered transaction for purposes of 2 C.F.R. Part 180 and 31 C.F.R. Part 19 if (1) the amount of this Contract is greater than or equal to $25,000 (</w:t>
      </w:r>
      <w:r w:rsidR="00D87BA2">
        <w:t>2 C.F.R. § 180.220(b)(1)</w:t>
      </w:r>
      <w:r w:rsidR="00773DAC">
        <w:t xml:space="preserve">; </w:t>
      </w:r>
      <w:r w:rsidR="00D87BA2">
        <w:t>31 C.F.R. § 19.220(b)</w:t>
      </w:r>
      <w:r w:rsidR="00455121">
        <w:t>(1)</w:t>
      </w:r>
      <w:r w:rsidR="00773DAC">
        <w:t xml:space="preserve">), </w:t>
      </w:r>
      <w:r w:rsidR="00A441BF">
        <w:t xml:space="preserve">(2) </w:t>
      </w:r>
      <w:r w:rsidR="00773DAC">
        <w:t xml:space="preserve">the </w:t>
      </w:r>
      <w:r w:rsidR="00D25FD8">
        <w:t>Contract requires the consent of a</w:t>
      </w:r>
      <w:r w:rsidR="008B1FE5">
        <w:t>n official of the</w:t>
      </w:r>
      <w:r w:rsidR="00D25FD8">
        <w:t xml:space="preserve"> Department of the Treasury (</w:t>
      </w:r>
      <w:r w:rsidR="00023F75">
        <w:t xml:space="preserve">2 C.F.R. § 180.220(b)(2); 31 C.F.R. § 19.220(b)(2)), or (3) this Contract is for federally-required audit services (2 </w:t>
      </w:r>
      <w:r w:rsidR="00564369">
        <w:t>C.F.R. § 180.220(b)(3); 31 C.F.R. § 19.220(b)(</w:t>
      </w:r>
      <w:r w:rsidR="00B840B8">
        <w:t>3))</w:t>
      </w:r>
      <w:r w:rsidR="00857EE4">
        <w:t>.</w:t>
      </w:r>
      <w:r w:rsidR="00F63013">
        <w:rPr>
          <w:rStyle w:val="FootnoteReference"/>
        </w:rPr>
        <w:footnoteReference w:id="34"/>
      </w:r>
    </w:p>
    <w:p w14:paraId="4287FC16" w14:textId="77777777" w:rsidR="00E93087" w:rsidRDefault="00E93087" w:rsidP="00E93087">
      <w:pPr>
        <w:pStyle w:val="ListParagraph"/>
        <w:ind w:left="1080"/>
        <w:jc w:val="both"/>
      </w:pPr>
    </w:p>
    <w:p w14:paraId="40201155" w14:textId="3427C4B3" w:rsidR="003D5B29" w:rsidRPr="00364984" w:rsidRDefault="00BF6BDC" w:rsidP="00A8092D">
      <w:pPr>
        <w:pStyle w:val="ListParagraph"/>
        <w:numPr>
          <w:ilvl w:val="1"/>
          <w:numId w:val="2"/>
        </w:numPr>
        <w:ind w:left="1080"/>
        <w:jc w:val="both"/>
        <w:rPr>
          <w:b/>
          <w:bCs/>
        </w:rPr>
      </w:pPr>
      <w:r w:rsidRPr="00364984">
        <w:rPr>
          <w:b/>
          <w:bCs/>
        </w:rPr>
        <w:t>If this Contract is a covered transaction</w:t>
      </w:r>
      <w:r w:rsidR="00E93087" w:rsidRPr="00364984">
        <w:rPr>
          <w:b/>
          <w:bCs/>
        </w:rPr>
        <w:t xml:space="preserve"> as set forth in </w:t>
      </w:r>
      <w:r w:rsidR="00E93087" w:rsidRPr="001D506D">
        <w:rPr>
          <w:b/>
          <w:bCs/>
          <w:u w:val="single"/>
        </w:rPr>
        <w:t>Section [V</w:t>
      </w:r>
      <w:r w:rsidR="001D506D">
        <w:rPr>
          <w:b/>
          <w:bCs/>
          <w:u w:val="single"/>
        </w:rPr>
        <w:t>I</w:t>
      </w:r>
      <w:r w:rsidR="00E93087" w:rsidRPr="001D506D">
        <w:rPr>
          <w:b/>
          <w:bCs/>
          <w:u w:val="single"/>
        </w:rPr>
        <w:t>I(a)]</w:t>
      </w:r>
      <w:r w:rsidR="00265502" w:rsidRPr="00364984">
        <w:rPr>
          <w:b/>
          <w:bCs/>
        </w:rPr>
        <w:t xml:space="preserve"> above</w:t>
      </w:r>
      <w:r w:rsidRPr="00364984">
        <w:rPr>
          <w:b/>
          <w:bCs/>
        </w:rPr>
        <w:t xml:space="preserve">, </w:t>
      </w:r>
      <w:r w:rsidR="00FA650D" w:rsidRPr="00364984">
        <w:rPr>
          <w:b/>
          <w:bCs/>
        </w:rPr>
        <w:t xml:space="preserve">Contractor </w:t>
      </w:r>
      <w:r w:rsidR="00497243" w:rsidRPr="00364984">
        <w:rPr>
          <w:b/>
          <w:bCs/>
        </w:rPr>
        <w:t>hereby certifies</w:t>
      </w:r>
      <w:r w:rsidR="00FA650D" w:rsidRPr="00364984">
        <w:rPr>
          <w:b/>
          <w:bCs/>
        </w:rPr>
        <w:t xml:space="preserve"> </w:t>
      </w:r>
      <w:r w:rsidR="0059182C" w:rsidRPr="00364984">
        <w:rPr>
          <w:b/>
          <w:bCs/>
        </w:rPr>
        <w:t xml:space="preserve">as of the date hereof that </w:t>
      </w:r>
      <w:r w:rsidR="00BB6137" w:rsidRPr="00364984">
        <w:rPr>
          <w:b/>
          <w:bCs/>
        </w:rPr>
        <w:t xml:space="preserve">each of </w:t>
      </w:r>
      <w:r w:rsidR="00DD6EF6" w:rsidRPr="00364984">
        <w:rPr>
          <w:b/>
          <w:bCs/>
        </w:rPr>
        <w:t>Contractor,</w:t>
      </w:r>
      <w:r w:rsidR="00FA650D" w:rsidRPr="00364984">
        <w:rPr>
          <w:b/>
          <w:bCs/>
        </w:rPr>
        <w:t xml:space="preserve"> Contractor</w:t>
      </w:r>
      <w:r w:rsidR="00492A9B" w:rsidRPr="00364984">
        <w:rPr>
          <w:b/>
          <w:bCs/>
        </w:rPr>
        <w:t>’</w:t>
      </w:r>
      <w:r w:rsidR="00FA650D" w:rsidRPr="00364984">
        <w:rPr>
          <w:b/>
          <w:bCs/>
        </w:rPr>
        <w:t>s principals (defined at 2 C.F.</w:t>
      </w:r>
      <w:r w:rsidR="0000497A" w:rsidRPr="00364984">
        <w:rPr>
          <w:b/>
          <w:bCs/>
        </w:rPr>
        <w:t>R</w:t>
      </w:r>
      <w:r w:rsidR="00FA650D" w:rsidRPr="00364984">
        <w:rPr>
          <w:b/>
          <w:bCs/>
        </w:rPr>
        <w:t xml:space="preserve">. </w:t>
      </w:r>
      <w:r w:rsidR="0000497A" w:rsidRPr="00364984">
        <w:rPr>
          <w:b/>
          <w:bCs/>
        </w:rPr>
        <w:t>§ 180.995</w:t>
      </w:r>
      <w:r w:rsidR="00FA650D" w:rsidRPr="00364984">
        <w:rPr>
          <w:b/>
          <w:bCs/>
        </w:rPr>
        <w:t>)</w:t>
      </w:r>
      <w:r w:rsidR="00BB6137" w:rsidRPr="00364984">
        <w:rPr>
          <w:b/>
          <w:bCs/>
        </w:rPr>
        <w:t>,</w:t>
      </w:r>
      <w:r w:rsidR="0000497A" w:rsidRPr="00364984">
        <w:rPr>
          <w:b/>
          <w:bCs/>
        </w:rPr>
        <w:t xml:space="preserve"> </w:t>
      </w:r>
      <w:r w:rsidR="00BB6137" w:rsidRPr="00364984">
        <w:rPr>
          <w:b/>
          <w:bCs/>
        </w:rPr>
        <w:t>and</w:t>
      </w:r>
      <w:r w:rsidR="00B24CFB" w:rsidRPr="00364984">
        <w:rPr>
          <w:b/>
          <w:bCs/>
        </w:rPr>
        <w:t xml:space="preserve"> </w:t>
      </w:r>
      <w:r w:rsidR="001C6CE3">
        <w:rPr>
          <w:b/>
          <w:bCs/>
        </w:rPr>
        <w:t xml:space="preserve">the </w:t>
      </w:r>
      <w:r w:rsidR="0000497A" w:rsidRPr="00364984">
        <w:rPr>
          <w:b/>
          <w:bCs/>
        </w:rPr>
        <w:t>affiliates (defined at 2 C.F.R. § 180.905)</w:t>
      </w:r>
      <w:r w:rsidR="001C6CE3">
        <w:rPr>
          <w:b/>
          <w:bCs/>
        </w:rPr>
        <w:t xml:space="preserve"> of Contractor</w:t>
      </w:r>
      <w:r w:rsidR="0000497A" w:rsidRPr="00364984">
        <w:rPr>
          <w:b/>
          <w:bCs/>
        </w:rPr>
        <w:t xml:space="preserve"> </w:t>
      </w:r>
      <w:r w:rsidR="00B24CFB" w:rsidRPr="00364984">
        <w:rPr>
          <w:b/>
          <w:bCs/>
        </w:rPr>
        <w:t xml:space="preserve">and Contractor’s principals </w:t>
      </w:r>
      <w:r w:rsidR="0000497A" w:rsidRPr="00364984">
        <w:rPr>
          <w:b/>
          <w:bCs/>
        </w:rPr>
        <w:t xml:space="preserve">are </w:t>
      </w:r>
      <w:r w:rsidR="0059182C" w:rsidRPr="00364984">
        <w:rPr>
          <w:b/>
          <w:bCs/>
        </w:rPr>
        <w:t xml:space="preserve">not </w:t>
      </w:r>
      <w:r w:rsidR="0000497A" w:rsidRPr="00364984">
        <w:rPr>
          <w:b/>
          <w:bCs/>
        </w:rPr>
        <w:t>excluded (defined at 2 C.F.R. § 180</w:t>
      </w:r>
      <w:r w:rsidR="00C020E7" w:rsidRPr="00364984">
        <w:rPr>
          <w:b/>
          <w:bCs/>
        </w:rPr>
        <w:t>.935</w:t>
      </w:r>
      <w:r w:rsidR="00C45588" w:rsidRPr="00364984">
        <w:rPr>
          <w:b/>
          <w:bCs/>
        </w:rPr>
        <w:t>)</w:t>
      </w:r>
      <w:r w:rsidR="00902EC6" w:rsidRPr="00364984">
        <w:rPr>
          <w:b/>
          <w:bCs/>
        </w:rPr>
        <w:t xml:space="preserve"> </w:t>
      </w:r>
      <w:r w:rsidR="0059182C" w:rsidRPr="00364984">
        <w:rPr>
          <w:b/>
          <w:bCs/>
        </w:rPr>
        <w:t>and are not</w:t>
      </w:r>
      <w:r w:rsidR="00902EC6" w:rsidRPr="00364984">
        <w:rPr>
          <w:b/>
          <w:bCs/>
        </w:rPr>
        <w:t xml:space="preserve"> disqualified (defined at 2 C.F.R. § </w:t>
      </w:r>
      <w:r w:rsidR="00BA7B9A" w:rsidRPr="00364984">
        <w:rPr>
          <w:b/>
          <w:bCs/>
        </w:rPr>
        <w:t>180.935).</w:t>
      </w:r>
      <w:r w:rsidR="00566576" w:rsidRPr="00364984">
        <w:rPr>
          <w:b/>
          <w:bCs/>
        </w:rPr>
        <w:t xml:space="preserve">  </w:t>
      </w:r>
      <w:r w:rsidR="006C1CD2" w:rsidRPr="00364984">
        <w:rPr>
          <w:b/>
          <w:bCs/>
        </w:rPr>
        <w:t xml:space="preserve">If </w:t>
      </w:r>
      <w:r w:rsidR="00DA6D52" w:rsidRPr="00364984">
        <w:rPr>
          <w:b/>
          <w:bCs/>
        </w:rPr>
        <w:t xml:space="preserve">any of the foregoing persons </w:t>
      </w:r>
      <w:r w:rsidR="003F0475" w:rsidRPr="00364984">
        <w:rPr>
          <w:b/>
          <w:bCs/>
        </w:rPr>
        <w:t>are</w:t>
      </w:r>
      <w:r w:rsidR="006C1CD2" w:rsidRPr="00364984">
        <w:rPr>
          <w:b/>
          <w:bCs/>
        </w:rPr>
        <w:t xml:space="preserve"> excluded </w:t>
      </w:r>
      <w:r w:rsidR="003B6132">
        <w:rPr>
          <w:b/>
          <w:bCs/>
        </w:rPr>
        <w:t xml:space="preserve">or disqualified </w:t>
      </w:r>
      <w:r w:rsidR="004611F0" w:rsidRPr="00364984">
        <w:rPr>
          <w:b/>
          <w:bCs/>
        </w:rPr>
        <w:t xml:space="preserve">and the </w:t>
      </w:r>
      <w:r w:rsidR="003F0475" w:rsidRPr="00364984">
        <w:rPr>
          <w:b/>
          <w:bCs/>
        </w:rPr>
        <w:t>Secretary</w:t>
      </w:r>
      <w:r w:rsidR="004611F0" w:rsidRPr="00364984">
        <w:rPr>
          <w:b/>
          <w:bCs/>
        </w:rPr>
        <w:t xml:space="preserve"> of the Treasury </w:t>
      </w:r>
      <w:r w:rsidR="003F0475" w:rsidRPr="00364984">
        <w:rPr>
          <w:b/>
          <w:bCs/>
        </w:rPr>
        <w:t xml:space="preserve">has not </w:t>
      </w:r>
      <w:r w:rsidR="004611F0" w:rsidRPr="00364984">
        <w:rPr>
          <w:b/>
          <w:bCs/>
        </w:rPr>
        <w:t>grant</w:t>
      </w:r>
      <w:r w:rsidR="003F0475" w:rsidRPr="00364984">
        <w:rPr>
          <w:b/>
          <w:bCs/>
        </w:rPr>
        <w:t>ed</w:t>
      </w:r>
      <w:r w:rsidR="004611F0" w:rsidRPr="00364984">
        <w:rPr>
          <w:b/>
          <w:bCs/>
        </w:rPr>
        <w:t xml:space="preserve"> an exception</w:t>
      </w:r>
      <w:r w:rsidR="00383F8D" w:rsidRPr="00364984">
        <w:rPr>
          <w:b/>
          <w:bCs/>
        </w:rPr>
        <w:t xml:space="preserve"> pursuant to</w:t>
      </w:r>
      <w:r w:rsidR="003F0475" w:rsidRPr="00364984">
        <w:rPr>
          <w:b/>
          <w:bCs/>
        </w:rPr>
        <w:t xml:space="preserve"> 31 C.F.R. § 19.120</w:t>
      </w:r>
      <w:r w:rsidR="000C66ED" w:rsidRPr="00364984">
        <w:rPr>
          <w:b/>
          <w:bCs/>
        </w:rPr>
        <w:t>(a)</w:t>
      </w:r>
      <w:r w:rsidR="003F0475" w:rsidRPr="00364984">
        <w:rPr>
          <w:b/>
          <w:bCs/>
        </w:rPr>
        <w:t>,</w:t>
      </w:r>
      <w:r w:rsidR="007F1325" w:rsidRPr="00364984">
        <w:rPr>
          <w:b/>
          <w:bCs/>
        </w:rPr>
        <w:t xml:space="preserve"> </w:t>
      </w:r>
      <w:r w:rsidR="005A1B01" w:rsidRPr="00364984">
        <w:rPr>
          <w:b/>
          <w:bCs/>
        </w:rPr>
        <w:t xml:space="preserve">(1) </w:t>
      </w:r>
      <w:r w:rsidR="007F1325" w:rsidRPr="00364984">
        <w:rPr>
          <w:b/>
          <w:bCs/>
        </w:rPr>
        <w:t xml:space="preserve">this Contract shall </w:t>
      </w:r>
      <w:r w:rsidR="00383F8D" w:rsidRPr="00364984">
        <w:rPr>
          <w:b/>
          <w:bCs/>
        </w:rPr>
        <w:t>be void</w:t>
      </w:r>
      <w:r w:rsidR="005A1B01" w:rsidRPr="00364984">
        <w:rPr>
          <w:b/>
          <w:bCs/>
        </w:rPr>
        <w:t xml:space="preserve">, (2) </w:t>
      </w:r>
      <w:r w:rsidR="007F1325" w:rsidRPr="00364984">
        <w:rPr>
          <w:b/>
          <w:bCs/>
        </w:rPr>
        <w:t>Unit shall not make any payments of Federal financial assistance to Contractor</w:t>
      </w:r>
      <w:r w:rsidR="005A1B01" w:rsidRPr="00364984">
        <w:rPr>
          <w:b/>
          <w:bCs/>
        </w:rPr>
        <w:t xml:space="preserve">, and (3) Unit shall have no obligations </w:t>
      </w:r>
      <w:r w:rsidR="00AF6D63" w:rsidRPr="00364984">
        <w:rPr>
          <w:b/>
          <w:bCs/>
        </w:rPr>
        <w:t>to</w:t>
      </w:r>
      <w:r w:rsidR="005A1B01" w:rsidRPr="00364984">
        <w:rPr>
          <w:b/>
          <w:bCs/>
        </w:rPr>
        <w:t xml:space="preserve"> Contractor</w:t>
      </w:r>
      <w:r w:rsidR="00AF6D63" w:rsidRPr="00364984">
        <w:rPr>
          <w:b/>
          <w:bCs/>
        </w:rPr>
        <w:t xml:space="preserve"> under this Contract</w:t>
      </w:r>
      <w:r w:rsidR="005A1B01" w:rsidRPr="00364984">
        <w:rPr>
          <w:b/>
          <w:bCs/>
        </w:rPr>
        <w:t>.</w:t>
      </w:r>
    </w:p>
    <w:p w14:paraId="73418939" w14:textId="77777777" w:rsidR="003D5B29" w:rsidRDefault="003D5B29" w:rsidP="003D5B29">
      <w:pPr>
        <w:pStyle w:val="ListParagraph"/>
        <w:ind w:left="1080"/>
        <w:jc w:val="both"/>
      </w:pPr>
    </w:p>
    <w:p w14:paraId="158D95C9" w14:textId="684BD507" w:rsidR="00086E81" w:rsidRDefault="00C020E7" w:rsidP="00A8092D">
      <w:pPr>
        <w:pStyle w:val="ListParagraph"/>
        <w:numPr>
          <w:ilvl w:val="1"/>
          <w:numId w:val="2"/>
        </w:numPr>
        <w:ind w:left="1080"/>
        <w:jc w:val="both"/>
      </w:pPr>
      <w:r>
        <w:t>Contractor must comply with 2 C.F.R. Part 180, Subpart C, and 31 C.F.R. Part 19</w:t>
      </w:r>
      <w:r w:rsidR="00E66D91">
        <w:t xml:space="preserve">, and must include a requirement to comply with these regulations in any </w:t>
      </w:r>
      <w:proofErr w:type="gramStart"/>
      <w:r w:rsidR="00E66D91">
        <w:t>lower-tier</w:t>
      </w:r>
      <w:proofErr w:type="gramEnd"/>
      <w:r w:rsidR="00E66D91">
        <w:t xml:space="preserve"> covered transaction it enters into.</w:t>
      </w:r>
      <w:r w:rsidR="001F389B">
        <w:rPr>
          <w:rStyle w:val="FootnoteReference"/>
        </w:rPr>
        <w:footnoteReference w:id="35"/>
      </w:r>
      <w:r w:rsidR="00E93087">
        <w:t xml:space="preserve">  </w:t>
      </w:r>
      <w:r w:rsidR="009206FD">
        <w:t>This certification is a material representation of fact relied upon by Unit</w:t>
      </w:r>
      <w:r w:rsidR="00DD39F7">
        <w:t xml:space="preserve"> and all liability arising from an erroneous representation shall be borne solely by Contractor</w:t>
      </w:r>
    </w:p>
    <w:p w14:paraId="77AC74A6" w14:textId="77777777" w:rsidR="00497028" w:rsidRDefault="00497028" w:rsidP="00497028">
      <w:pPr>
        <w:pStyle w:val="ListParagraph"/>
        <w:ind w:left="1080"/>
        <w:jc w:val="both"/>
      </w:pPr>
    </w:p>
    <w:p w14:paraId="7101872A" w14:textId="1E1F1C99" w:rsidR="00E93087" w:rsidRDefault="00E66D91" w:rsidP="00E93087">
      <w:pPr>
        <w:pStyle w:val="ListParagraph"/>
        <w:numPr>
          <w:ilvl w:val="1"/>
          <w:numId w:val="2"/>
        </w:numPr>
        <w:ind w:left="1080"/>
        <w:jc w:val="both"/>
      </w:pPr>
      <w:r>
        <w:t xml:space="preserve"> If it is later determined that Contractor did not comply with 2 C.F.R. Part 180, Subpart C and 31 C.F.R. Part 19, in addition to remedies available to </w:t>
      </w:r>
      <w:r w:rsidR="00B643D7">
        <w:t xml:space="preserve">Unit, </w:t>
      </w:r>
      <w:r>
        <w:t xml:space="preserve">the </w:t>
      </w:r>
      <w:r w:rsidR="00F930F4">
        <w:t>Government</w:t>
      </w:r>
      <w:r w:rsidR="006C08C7">
        <w:t xml:space="preserve"> may pursue available remedies, including but not limited to suspension and/or debarment.</w:t>
      </w:r>
    </w:p>
    <w:p w14:paraId="61128AC5" w14:textId="77777777" w:rsidR="00E93087" w:rsidRDefault="00E93087" w:rsidP="00E93087">
      <w:pPr>
        <w:pStyle w:val="ListParagraph"/>
        <w:ind w:left="1080"/>
        <w:jc w:val="both"/>
      </w:pPr>
    </w:p>
    <w:p w14:paraId="1BF7B156" w14:textId="06C51992" w:rsidR="00F24604" w:rsidRPr="005F5D52" w:rsidRDefault="00F24604" w:rsidP="00BB514B">
      <w:pPr>
        <w:pStyle w:val="ListParagraph"/>
        <w:numPr>
          <w:ilvl w:val="0"/>
          <w:numId w:val="2"/>
        </w:numPr>
        <w:jc w:val="both"/>
        <w:rPr>
          <w:b/>
          <w:bCs/>
          <w:i/>
          <w:iCs/>
          <w:u w:val="single"/>
        </w:rPr>
      </w:pPr>
      <w:r w:rsidRPr="005F5D52">
        <w:rPr>
          <w:b/>
          <w:bCs/>
          <w:i/>
          <w:iCs/>
          <w:u w:val="single"/>
        </w:rPr>
        <w:t>Byrd Anti-Lobbying Amendment</w:t>
      </w:r>
      <w:bookmarkStart w:id="3" w:name="_Ref98247365"/>
      <w:r w:rsidR="00171B14">
        <w:rPr>
          <w:rStyle w:val="FootnoteReference"/>
          <w:b/>
          <w:bCs/>
          <w:i/>
          <w:iCs/>
          <w:u w:val="single"/>
        </w:rPr>
        <w:footnoteReference w:id="36"/>
      </w:r>
      <w:bookmarkEnd w:id="3"/>
    </w:p>
    <w:p w14:paraId="3F687033" w14:textId="77777777" w:rsidR="00DE2492" w:rsidRDefault="00DE2492" w:rsidP="00BB514B">
      <w:pPr>
        <w:pStyle w:val="ListParagraph"/>
        <w:ind w:left="360"/>
        <w:jc w:val="both"/>
      </w:pPr>
    </w:p>
    <w:p w14:paraId="471865B6" w14:textId="0677C18B" w:rsidR="00F72E53" w:rsidRDefault="00DE2492" w:rsidP="00A8092D">
      <w:pPr>
        <w:pStyle w:val="ListParagraph"/>
        <w:numPr>
          <w:ilvl w:val="1"/>
          <w:numId w:val="2"/>
        </w:numPr>
        <w:ind w:left="1080"/>
        <w:jc w:val="both"/>
      </w:pPr>
      <w:r w:rsidRPr="00342842">
        <w:t xml:space="preserve">Contractor </w:t>
      </w:r>
      <w:r w:rsidR="00420EC0" w:rsidRPr="00342842">
        <w:t>certifies</w:t>
      </w:r>
      <w:r w:rsidR="00B01152" w:rsidRPr="00342842">
        <w:t xml:space="preserve"> to Unit</w:t>
      </w:r>
      <w:r w:rsidR="001F551E" w:rsidRPr="00342842">
        <w:t xml:space="preserve">, and Contractor shall cause each </w:t>
      </w:r>
      <w:r w:rsidR="0081208E" w:rsidRPr="00342842">
        <w:t>Tier</w:t>
      </w:r>
      <w:r w:rsidR="001F551E" w:rsidRPr="00342842">
        <w:t xml:space="preserve"> below it to certify to the </w:t>
      </w:r>
      <w:r w:rsidR="0081208E" w:rsidRPr="00342842">
        <w:t>Tier</w:t>
      </w:r>
      <w:r w:rsidR="001F551E" w:rsidRPr="00342842">
        <w:t xml:space="preserve"> </w:t>
      </w:r>
      <w:r w:rsidR="0081208E" w:rsidRPr="00342842">
        <w:t xml:space="preserve">directly above </w:t>
      </w:r>
      <w:r w:rsidR="007156C2" w:rsidRPr="00342842">
        <w:t>such Tier</w:t>
      </w:r>
      <w:r w:rsidR="001F551E" w:rsidRPr="00342842">
        <w:t>,</w:t>
      </w:r>
      <w:r w:rsidR="00420EC0" w:rsidRPr="00342842">
        <w:t xml:space="preserve"> that it </w:t>
      </w:r>
      <w:r w:rsidR="00B50FC3" w:rsidRPr="00342842">
        <w:t xml:space="preserve">has not </w:t>
      </w:r>
      <w:r w:rsidR="002D1BFE" w:rsidRPr="00342842">
        <w:t>used and will not use</w:t>
      </w:r>
      <w:r w:rsidR="00742CA5" w:rsidRPr="00342842">
        <w:t xml:space="preserve"> </w:t>
      </w:r>
      <w:r w:rsidR="00285870" w:rsidRPr="00342842">
        <w:t>Federally</w:t>
      </w:r>
      <w:r w:rsidR="00742CA5" w:rsidRPr="00342842">
        <w:t xml:space="preserve"> appropriated funds to pay any person or organization for</w:t>
      </w:r>
      <w:r w:rsidR="003429FF" w:rsidRPr="00342842">
        <w:t xml:space="preserve"> influencing or attempting to influence an officer or employee of any agency, a </w:t>
      </w:r>
      <w:r w:rsidR="00EF605D" w:rsidRPr="00342842">
        <w:t>M</w:t>
      </w:r>
      <w:r w:rsidR="003429FF" w:rsidRPr="00342842">
        <w:t xml:space="preserve">ember of Congress, officer or employee of Congress, or an employee of a </w:t>
      </w:r>
      <w:r w:rsidR="00EF605D" w:rsidRPr="00342842">
        <w:t>M</w:t>
      </w:r>
      <w:r w:rsidR="003429FF" w:rsidRPr="00342842">
        <w:t xml:space="preserve">ember of Congress in connection with obtaining any Federal contract, grant or any other award </w:t>
      </w:r>
      <w:r w:rsidR="00B27890" w:rsidRPr="00342842">
        <w:t>covered by</w:t>
      </w:r>
      <w:r w:rsidR="00A64DC6" w:rsidRPr="00342842">
        <w:t xml:space="preserve"> 31</w:t>
      </w:r>
      <w:r w:rsidR="00B27890" w:rsidRPr="00342842">
        <w:t xml:space="preserve"> U.S.C. § 1352.</w:t>
      </w:r>
      <w:r w:rsidR="0091459C">
        <w:t xml:space="preserve">  </w:t>
      </w:r>
      <w:r w:rsidR="001125DD" w:rsidRPr="00342842">
        <w:t>Contractor shall, and shall cause each</w:t>
      </w:r>
      <w:r w:rsidR="00B27890" w:rsidRPr="00342842">
        <w:t xml:space="preserve"> </w:t>
      </w:r>
      <w:r w:rsidR="00A8201B" w:rsidRPr="00342842">
        <w:t>T</w:t>
      </w:r>
      <w:r w:rsidR="00C54033" w:rsidRPr="00342842">
        <w:t>ier</w:t>
      </w:r>
      <w:r w:rsidR="001125DD" w:rsidRPr="00342842">
        <w:t xml:space="preserve"> below it, to</w:t>
      </w:r>
      <w:r w:rsidR="00B27890" w:rsidRPr="00342842">
        <w:t xml:space="preserve"> disclose any lobbying with non-Federal</w:t>
      </w:r>
      <w:r w:rsidR="00555C51">
        <w:t>ly appropriated</w:t>
      </w:r>
      <w:r w:rsidR="00B27890" w:rsidRPr="00342842">
        <w:t xml:space="preserve"> funds that takes place in connection with obtaining any Federal award.  Such disclosures </w:t>
      </w:r>
      <w:r w:rsidR="00AA1F25" w:rsidRPr="00342842">
        <w:t xml:space="preserve">(to be set forth on Standard Form-LLL </w:t>
      </w:r>
      <w:r w:rsidR="00E837BD" w:rsidRPr="00342842">
        <w:t>contain</w:t>
      </w:r>
      <w:r w:rsidR="007156C2" w:rsidRPr="00342842">
        <w:t>e</w:t>
      </w:r>
      <w:r w:rsidR="00E837BD" w:rsidRPr="00342842">
        <w:t xml:space="preserve">d in 31 C.F.R. Part 21, Appendix B) </w:t>
      </w:r>
      <w:r w:rsidR="00303CB1" w:rsidRPr="00342842">
        <w:t>shall be</w:t>
      </w:r>
      <w:r w:rsidR="00B27890" w:rsidRPr="00342842">
        <w:t xml:space="preserve"> forwarded from </w:t>
      </w:r>
      <w:r w:rsidR="00A8201B" w:rsidRPr="00342842">
        <w:t>T</w:t>
      </w:r>
      <w:r w:rsidR="00B27890" w:rsidRPr="00342842">
        <w:t xml:space="preserve">ier to </w:t>
      </w:r>
      <w:r w:rsidR="00A8201B" w:rsidRPr="00342842">
        <w:t>T</w:t>
      </w:r>
      <w:r w:rsidR="00B27890" w:rsidRPr="00342842">
        <w:t xml:space="preserve">ier up to the </w:t>
      </w:r>
      <w:r w:rsidR="00303CB1" w:rsidRPr="00342842">
        <w:t>Unit</w:t>
      </w:r>
      <w:r w:rsidR="00B27890" w:rsidRPr="00342842">
        <w:t xml:space="preserve"> who will in turn forward the certification(s) to the </w:t>
      </w:r>
      <w:r w:rsidR="00303CB1" w:rsidRPr="00342842">
        <w:t>U.S. Department of the Treasury</w:t>
      </w:r>
      <w:r w:rsidR="00B27890" w:rsidRPr="00342842">
        <w:t>.</w:t>
      </w:r>
      <w:r w:rsidR="0091459C">
        <w:t xml:space="preserve">  Contractor shall </w:t>
      </w:r>
      <w:r w:rsidR="004F7D6A">
        <w:t xml:space="preserve">cause the language of this </w:t>
      </w:r>
      <w:r w:rsidR="004F7D6A" w:rsidRPr="001D506D">
        <w:rPr>
          <w:u w:val="single"/>
        </w:rPr>
        <w:t>Section [V</w:t>
      </w:r>
      <w:r w:rsidR="00A863F7">
        <w:rPr>
          <w:u w:val="single"/>
        </w:rPr>
        <w:t>I</w:t>
      </w:r>
      <w:r w:rsidR="004F7D6A" w:rsidRPr="001D506D">
        <w:rPr>
          <w:u w:val="single"/>
        </w:rPr>
        <w:t>II(a)]</w:t>
      </w:r>
      <w:r w:rsidR="004F7D6A">
        <w:t xml:space="preserve"> to be included in all Subcontracts.</w:t>
      </w:r>
      <w:r w:rsidR="000B79D5">
        <w:t xml:space="preserve">  This certification is a material representation of fact upon which Unit has relied when </w:t>
      </w:r>
      <w:proofErr w:type="gramStart"/>
      <w:r w:rsidR="000B79D5">
        <w:t>entering into</w:t>
      </w:r>
      <w:proofErr w:type="gramEnd"/>
      <w:r w:rsidR="000B79D5">
        <w:t xml:space="preserve"> this </w:t>
      </w:r>
      <w:r w:rsidR="002D558F">
        <w:t>Contract</w:t>
      </w:r>
      <w:r w:rsidR="0052395E">
        <w:t xml:space="preserve"> and all liability arising from an erroneous representation shall be borne solely by </w:t>
      </w:r>
      <w:r w:rsidR="00006A46">
        <w:t>Contractor</w:t>
      </w:r>
      <w:r w:rsidR="00850114">
        <w:t xml:space="preserve">.  </w:t>
      </w:r>
    </w:p>
    <w:p w14:paraId="630139C9" w14:textId="77777777" w:rsidR="00F00D91" w:rsidRDefault="00F00D91" w:rsidP="00F00D91">
      <w:pPr>
        <w:pStyle w:val="ListParagraph"/>
        <w:ind w:left="1080"/>
        <w:jc w:val="both"/>
      </w:pPr>
    </w:p>
    <w:p w14:paraId="615E4947" w14:textId="543D3F2A" w:rsidR="007D4A63" w:rsidRPr="007D4A63" w:rsidRDefault="00303CB1" w:rsidP="00F72E53">
      <w:pPr>
        <w:pStyle w:val="ListParagraph"/>
        <w:numPr>
          <w:ilvl w:val="1"/>
          <w:numId w:val="2"/>
        </w:numPr>
        <w:ind w:left="1080"/>
        <w:jc w:val="both"/>
      </w:pPr>
      <w:r w:rsidRPr="00F72E53">
        <w:rPr>
          <w:b/>
          <w:bCs/>
        </w:rPr>
        <w:t xml:space="preserve">Contractors that bid or apply for a </w:t>
      </w:r>
      <w:r w:rsidR="00285870">
        <w:rPr>
          <w:b/>
          <w:bCs/>
        </w:rPr>
        <w:t>c</w:t>
      </w:r>
      <w:r w:rsidR="00E641A6" w:rsidRPr="00F72E53">
        <w:rPr>
          <w:b/>
          <w:bCs/>
        </w:rPr>
        <w:t>ontract exceeding $100,000</w:t>
      </w:r>
      <w:r w:rsidR="00285870">
        <w:rPr>
          <w:b/>
          <w:bCs/>
        </w:rPr>
        <w:t xml:space="preserve"> (including this Contract, if applicable)</w:t>
      </w:r>
      <w:r w:rsidR="00E641A6" w:rsidRPr="00F72E53">
        <w:rPr>
          <w:b/>
          <w:bCs/>
        </w:rPr>
        <w:t xml:space="preserve"> </w:t>
      </w:r>
      <w:r w:rsidR="002D558F">
        <w:rPr>
          <w:b/>
          <w:bCs/>
        </w:rPr>
        <w:t xml:space="preserve">also </w:t>
      </w:r>
      <w:r w:rsidR="00E641A6" w:rsidRPr="00F72E53">
        <w:rPr>
          <w:b/>
          <w:bCs/>
        </w:rPr>
        <w:t xml:space="preserve">must file with Unit the Certification in </w:t>
      </w:r>
      <w:r w:rsidR="00E641A6" w:rsidRPr="00F72E53">
        <w:rPr>
          <w:b/>
          <w:bCs/>
          <w:u w:val="single"/>
        </w:rPr>
        <w:t>Attachment 1</w:t>
      </w:r>
      <w:r w:rsidR="00E641A6" w:rsidRPr="00F72E53">
        <w:rPr>
          <w:b/>
          <w:bCs/>
        </w:rPr>
        <w:t xml:space="preserve"> to th</w:t>
      </w:r>
      <w:r w:rsidR="00E578CE" w:rsidRPr="00F72E53">
        <w:rPr>
          <w:b/>
          <w:bCs/>
        </w:rPr>
        <w:t>is</w:t>
      </w:r>
      <w:r w:rsidR="00E641A6" w:rsidRPr="00F72E53">
        <w:rPr>
          <w:b/>
          <w:bCs/>
        </w:rPr>
        <w:t xml:space="preserve"> Addendum</w:t>
      </w:r>
      <w:r w:rsidR="008F1DE5" w:rsidRPr="00F72E53">
        <w:rPr>
          <w:b/>
          <w:bCs/>
        </w:rPr>
        <w:t>, which is attached hereto and incorporated herein.</w:t>
      </w:r>
    </w:p>
    <w:p w14:paraId="79B11E46" w14:textId="77777777" w:rsidR="007D4A63" w:rsidRPr="007D4A63" w:rsidRDefault="007D4A63" w:rsidP="007D4A63">
      <w:pPr>
        <w:pStyle w:val="ListParagraph"/>
        <w:ind w:left="1080"/>
        <w:jc w:val="both"/>
      </w:pPr>
    </w:p>
    <w:p w14:paraId="185C207E" w14:textId="2C02331A" w:rsidR="00303CB1" w:rsidRPr="00F72E53" w:rsidRDefault="000A2204" w:rsidP="00F72E53">
      <w:pPr>
        <w:pStyle w:val="ListParagraph"/>
        <w:numPr>
          <w:ilvl w:val="1"/>
          <w:numId w:val="2"/>
        </w:numPr>
        <w:ind w:left="1080"/>
        <w:jc w:val="both"/>
      </w:pPr>
      <w:r>
        <w:rPr>
          <w:b/>
          <w:bCs/>
        </w:rPr>
        <w:t xml:space="preserve">Contractor </w:t>
      </w:r>
      <w:r w:rsidR="007D4A63">
        <w:rPr>
          <w:b/>
          <w:bCs/>
        </w:rPr>
        <w:t>also shall</w:t>
      </w:r>
      <w:r>
        <w:rPr>
          <w:b/>
          <w:bCs/>
        </w:rPr>
        <w:t xml:space="preserve"> cause any Subcontractors with a Subcontract</w:t>
      </w:r>
      <w:r w:rsidR="007D4A63">
        <w:rPr>
          <w:b/>
          <w:bCs/>
        </w:rPr>
        <w:t xml:space="preserve"> (at any Tier)</w:t>
      </w:r>
      <w:r>
        <w:rPr>
          <w:b/>
          <w:bCs/>
        </w:rPr>
        <w:t xml:space="preserve"> exceeding $100,000 </w:t>
      </w:r>
      <w:r w:rsidR="007D4A63">
        <w:rPr>
          <w:b/>
          <w:bCs/>
        </w:rPr>
        <w:t xml:space="preserve">to file with </w:t>
      </w:r>
      <w:r w:rsidR="000C39F7">
        <w:rPr>
          <w:b/>
          <w:bCs/>
        </w:rPr>
        <w:t>their Tier above it</w:t>
      </w:r>
      <w:r w:rsidR="007D4A63">
        <w:rPr>
          <w:b/>
          <w:bCs/>
        </w:rPr>
        <w:t xml:space="preserve"> the Certification in </w:t>
      </w:r>
      <w:r w:rsidR="007D4A63">
        <w:rPr>
          <w:b/>
          <w:bCs/>
          <w:u w:val="single"/>
        </w:rPr>
        <w:t>Attachment 1 to this Addendum</w:t>
      </w:r>
      <w:r w:rsidR="007D4A63">
        <w:rPr>
          <w:b/>
          <w:bCs/>
        </w:rPr>
        <w:t>, which is attached hereto and incorporated herein.</w:t>
      </w:r>
    </w:p>
    <w:p w14:paraId="51E1FE29" w14:textId="77777777" w:rsidR="00795BAF" w:rsidRDefault="00795BAF" w:rsidP="00BB514B">
      <w:pPr>
        <w:pStyle w:val="ListParagraph"/>
        <w:ind w:left="1080"/>
        <w:jc w:val="both"/>
      </w:pPr>
    </w:p>
    <w:p w14:paraId="1866BF16" w14:textId="30F341D6" w:rsidR="009B609A" w:rsidRDefault="00D50D7B" w:rsidP="009B609A">
      <w:pPr>
        <w:pStyle w:val="ListParagraph"/>
        <w:numPr>
          <w:ilvl w:val="0"/>
          <w:numId w:val="2"/>
        </w:numPr>
        <w:jc w:val="both"/>
        <w:rPr>
          <w:b/>
          <w:bCs/>
          <w:i/>
          <w:iCs/>
          <w:u w:val="single"/>
        </w:rPr>
      </w:pPr>
      <w:r w:rsidRPr="005F5D52">
        <w:rPr>
          <w:b/>
          <w:bCs/>
          <w:i/>
          <w:iCs/>
          <w:u w:val="single"/>
        </w:rPr>
        <w:t xml:space="preserve">Procurement of </w:t>
      </w:r>
      <w:r w:rsidR="00230E3E" w:rsidRPr="005F5D52">
        <w:rPr>
          <w:b/>
          <w:bCs/>
          <w:i/>
          <w:iCs/>
          <w:u w:val="single"/>
        </w:rPr>
        <w:t>Recovered Materials</w:t>
      </w:r>
      <w:r w:rsidR="00D222DA">
        <w:rPr>
          <w:rStyle w:val="FootnoteReference"/>
          <w:b/>
          <w:bCs/>
          <w:i/>
          <w:iCs/>
          <w:u w:val="single"/>
        </w:rPr>
        <w:footnoteReference w:id="37"/>
      </w:r>
    </w:p>
    <w:p w14:paraId="57F27F2C" w14:textId="77777777" w:rsidR="009B609A" w:rsidRDefault="009B609A" w:rsidP="009B609A">
      <w:pPr>
        <w:pStyle w:val="ListParagraph"/>
        <w:ind w:left="360"/>
        <w:jc w:val="both"/>
        <w:rPr>
          <w:b/>
          <w:bCs/>
          <w:i/>
          <w:iCs/>
          <w:u w:val="single"/>
        </w:rPr>
      </w:pPr>
    </w:p>
    <w:p w14:paraId="304C5EEB" w14:textId="6D96E853" w:rsidR="00D05247" w:rsidRDefault="00A150F0" w:rsidP="00D05247">
      <w:pPr>
        <w:pStyle w:val="ListParagraph"/>
        <w:numPr>
          <w:ilvl w:val="1"/>
          <w:numId w:val="2"/>
        </w:numPr>
        <w:ind w:left="1080"/>
        <w:jc w:val="both"/>
      </w:pPr>
      <w:r w:rsidRPr="001D506D">
        <w:rPr>
          <w:u w:val="single"/>
        </w:rPr>
        <w:t xml:space="preserve">Section </w:t>
      </w:r>
      <w:r w:rsidR="008E32BD">
        <w:rPr>
          <w:u w:val="single"/>
        </w:rPr>
        <w:t>IX</w:t>
      </w:r>
      <w:r w:rsidRPr="001D506D">
        <w:rPr>
          <w:u w:val="single"/>
        </w:rPr>
        <w:t>(b)</w:t>
      </w:r>
      <w:r>
        <w:t xml:space="preserve"> shall apply if (1) </w:t>
      </w:r>
      <w:r w:rsidR="00D05247" w:rsidRPr="003846C6">
        <w:t>this Contract i</w:t>
      </w:r>
      <w:r w:rsidR="00CD6900">
        <w:t xml:space="preserve">nvolves the purchase of an item </w:t>
      </w:r>
      <w:r w:rsidR="00A05E1E">
        <w:t>designated</w:t>
      </w:r>
      <w:r w:rsidR="006A3CDE">
        <w:t xml:space="preserve"> by the Environmental Protection Agency</w:t>
      </w:r>
      <w:r w:rsidR="003A411B">
        <w:t xml:space="preserve"> (“</w:t>
      </w:r>
      <w:r w:rsidR="003A411B" w:rsidRPr="0008631F">
        <w:rPr>
          <w:i/>
          <w:iCs/>
        </w:rPr>
        <w:t>EPA</w:t>
      </w:r>
      <w:r w:rsidR="003A411B">
        <w:t>”)</w:t>
      </w:r>
      <w:r w:rsidR="006A3CDE">
        <w:t xml:space="preserve"> in </w:t>
      </w:r>
      <w:r w:rsidR="00A05E1E">
        <w:t xml:space="preserve">40 C.F.R. Part 247 </w:t>
      </w:r>
      <w:r w:rsidR="00CD6900">
        <w:t xml:space="preserve">that </w:t>
      </w:r>
      <w:r>
        <w:t>exceeds $10,000, or (2)</w:t>
      </w:r>
      <w:r w:rsidR="00090C18">
        <w:t xml:space="preserve"> the </w:t>
      </w:r>
      <w:r w:rsidR="00BB5BD9">
        <w:t xml:space="preserve">total </w:t>
      </w:r>
      <w:r w:rsidR="00090C18">
        <w:t xml:space="preserve">value of </w:t>
      </w:r>
      <w:r w:rsidR="00DF1057">
        <w:t>such</w:t>
      </w:r>
      <w:r w:rsidR="00035F25">
        <w:t xml:space="preserve"> designated</w:t>
      </w:r>
      <w:r w:rsidR="00BB5BD9">
        <w:t xml:space="preserve"> item</w:t>
      </w:r>
      <w:r w:rsidR="00B0790C">
        <w:t xml:space="preserve">s </w:t>
      </w:r>
      <w:r w:rsidR="00090C18">
        <w:t>acquired during the Unit’s preceding fiscal year exceeded $10,000</w:t>
      </w:r>
      <w:r w:rsidR="008D4439">
        <w:t>.</w:t>
      </w:r>
    </w:p>
    <w:p w14:paraId="6A97A40D" w14:textId="77777777" w:rsidR="00D05247" w:rsidRDefault="00D05247" w:rsidP="00D05247">
      <w:pPr>
        <w:pStyle w:val="ListParagraph"/>
        <w:ind w:left="1080"/>
        <w:jc w:val="both"/>
      </w:pPr>
    </w:p>
    <w:p w14:paraId="04973BE9" w14:textId="1A2FA151" w:rsidR="00795BAF" w:rsidRPr="00D05247" w:rsidRDefault="00230E3E" w:rsidP="00D05247">
      <w:pPr>
        <w:pStyle w:val="ListParagraph"/>
        <w:numPr>
          <w:ilvl w:val="1"/>
          <w:numId w:val="2"/>
        </w:numPr>
        <w:ind w:left="1080"/>
        <w:jc w:val="both"/>
      </w:pPr>
      <w:r>
        <w:t xml:space="preserve">In the performance of </w:t>
      </w:r>
      <w:r w:rsidR="00C47FB6">
        <w:t>the</w:t>
      </w:r>
      <w:r>
        <w:t xml:space="preserve"> Contract, Contractor shall make maximum use of products containing recovered materials that are EPA-designated items unless the product cannot be acquired</w:t>
      </w:r>
      <w:r w:rsidR="0008198A">
        <w:t xml:space="preserve"> (1) competitively within a timeframe providing for compliance with the Contract performance schedule, (2) meeting Contract performance requirements; or (3) at a reasonable price.  </w:t>
      </w:r>
      <w:r w:rsidR="0002552E">
        <w:t>Information about this requirement, along with the list of EPA-designated items, is available at EPA</w:t>
      </w:r>
      <w:r w:rsidR="00492A9B">
        <w:t>’</w:t>
      </w:r>
      <w:r w:rsidR="0002552E">
        <w:t xml:space="preserve">s Comprehensive Procurement Guidelines website, </w:t>
      </w:r>
      <w:hyperlink r:id="rId17" w:history="1">
        <w:r w:rsidR="0002552E" w:rsidRPr="001A18F4">
          <w:rPr>
            <w:rStyle w:val="Hyperlink"/>
          </w:rPr>
          <w:t>https://www.epa.gov/smm/comprehensive-procurement-guideline-cpg-program</w:t>
        </w:r>
      </w:hyperlink>
      <w:r w:rsidR="0002552E">
        <w:t>.</w:t>
      </w:r>
      <w:r w:rsidR="00327965">
        <w:t xml:space="preserve">  Contractor also agrees to comply with all other applicable requirements of Section 6002 of the Solid Waste Disposal Act.</w:t>
      </w:r>
    </w:p>
    <w:p w14:paraId="1140910B" w14:textId="77777777" w:rsidR="00327965" w:rsidRDefault="00327965" w:rsidP="00BB514B">
      <w:pPr>
        <w:pStyle w:val="ListParagraph"/>
        <w:ind w:left="1080"/>
        <w:jc w:val="both"/>
      </w:pPr>
    </w:p>
    <w:p w14:paraId="08099C1A" w14:textId="683E0B66" w:rsidR="000B51FE" w:rsidRPr="005F5D52" w:rsidRDefault="00327965" w:rsidP="00BB514B">
      <w:pPr>
        <w:pStyle w:val="ListParagraph"/>
        <w:numPr>
          <w:ilvl w:val="0"/>
          <w:numId w:val="2"/>
        </w:numPr>
        <w:jc w:val="both"/>
        <w:rPr>
          <w:b/>
          <w:bCs/>
          <w:i/>
          <w:iCs/>
          <w:u w:val="single"/>
        </w:rPr>
      </w:pPr>
      <w:r w:rsidRPr="005F5D52">
        <w:rPr>
          <w:b/>
          <w:bCs/>
          <w:i/>
          <w:iCs/>
          <w:u w:val="single"/>
        </w:rPr>
        <w:t xml:space="preserve">Prohibition on Contracting for Covered Telecommunications Equipment or Services </w:t>
      </w:r>
      <w:r w:rsidR="00FD1345">
        <w:rPr>
          <w:rStyle w:val="FootnoteReference"/>
          <w:b/>
          <w:bCs/>
          <w:i/>
          <w:iCs/>
          <w:u w:val="single"/>
        </w:rPr>
        <w:footnoteReference w:id="38"/>
      </w:r>
    </w:p>
    <w:p w14:paraId="0D3BC99B" w14:textId="77777777" w:rsidR="007D5E0A" w:rsidRDefault="007D5E0A" w:rsidP="00BB514B">
      <w:pPr>
        <w:pStyle w:val="ListParagraph"/>
        <w:ind w:left="360"/>
        <w:jc w:val="both"/>
      </w:pPr>
    </w:p>
    <w:p w14:paraId="3B909EB8" w14:textId="43AFC93F" w:rsidR="002C539E" w:rsidRPr="00787C4A" w:rsidRDefault="002E1412" w:rsidP="002E1412">
      <w:pPr>
        <w:pStyle w:val="ListParagraph"/>
        <w:numPr>
          <w:ilvl w:val="1"/>
          <w:numId w:val="2"/>
        </w:numPr>
        <w:jc w:val="both"/>
        <w:rPr>
          <w:b/>
          <w:bCs/>
          <w:i/>
          <w:iCs/>
          <w:u w:val="single"/>
        </w:rPr>
      </w:pPr>
      <w:r w:rsidRPr="00787C4A">
        <w:rPr>
          <w:i/>
          <w:iCs/>
        </w:rPr>
        <w:t>Definitions</w:t>
      </w:r>
      <w:r w:rsidRPr="00787C4A">
        <w:t>.</w:t>
      </w:r>
      <w:r w:rsidRPr="00787C4A">
        <w:rPr>
          <w:i/>
          <w:iCs/>
        </w:rPr>
        <w:t xml:space="preserve"> </w:t>
      </w:r>
      <w:r w:rsidR="00CF183F" w:rsidRPr="00787C4A">
        <w:t>Unless otherwise defined in this Contract,</w:t>
      </w:r>
      <w:r w:rsidRPr="00787C4A">
        <w:t xml:space="preserve"> </w:t>
      </w:r>
      <w:r w:rsidR="00CF183F" w:rsidRPr="00787C4A">
        <w:t xml:space="preserve">capitalized terms used in this </w:t>
      </w:r>
      <w:r w:rsidR="00CF183F" w:rsidRPr="00257AF1">
        <w:rPr>
          <w:u w:val="single"/>
        </w:rPr>
        <w:t>Section IX</w:t>
      </w:r>
      <w:r w:rsidR="00CF183F" w:rsidRPr="00787C4A">
        <w:t xml:space="preserve"> shall have the meanings ascribed thereto in this </w:t>
      </w:r>
      <w:r w:rsidR="00CF183F" w:rsidRPr="001D506D">
        <w:rPr>
          <w:u w:val="single"/>
        </w:rPr>
        <w:t xml:space="preserve">Section </w:t>
      </w:r>
      <w:r w:rsidR="00257AF1">
        <w:rPr>
          <w:u w:val="single"/>
        </w:rPr>
        <w:t>I</w:t>
      </w:r>
      <w:r w:rsidR="00CF183F" w:rsidRPr="001D506D">
        <w:rPr>
          <w:u w:val="single"/>
        </w:rPr>
        <w:t>X(a)</w:t>
      </w:r>
      <w:r w:rsidR="00CF183F" w:rsidRPr="00787C4A">
        <w:t xml:space="preserve">: </w:t>
      </w:r>
    </w:p>
    <w:p w14:paraId="698E0A36" w14:textId="77777777" w:rsidR="002977E3" w:rsidRPr="00787C4A" w:rsidRDefault="002977E3" w:rsidP="002977E3">
      <w:pPr>
        <w:pStyle w:val="ListParagraph"/>
        <w:ind w:left="1260"/>
        <w:jc w:val="both"/>
        <w:rPr>
          <w:b/>
          <w:bCs/>
          <w:i/>
          <w:iCs/>
          <w:u w:val="single"/>
        </w:rPr>
      </w:pPr>
    </w:p>
    <w:p w14:paraId="36D3DA30" w14:textId="353E6858" w:rsidR="009A372D" w:rsidRPr="00787C4A" w:rsidRDefault="00BA63AD" w:rsidP="002C539E">
      <w:pPr>
        <w:pStyle w:val="ListParagraph"/>
        <w:numPr>
          <w:ilvl w:val="2"/>
          <w:numId w:val="2"/>
        </w:numPr>
        <w:jc w:val="both"/>
        <w:rPr>
          <w:b/>
          <w:bCs/>
          <w:i/>
          <w:iCs/>
          <w:u w:val="single"/>
        </w:rPr>
      </w:pPr>
      <w:r w:rsidRPr="00787C4A">
        <w:t>“</w:t>
      </w:r>
      <w:r w:rsidRPr="00787C4A">
        <w:rPr>
          <w:i/>
          <w:iCs/>
        </w:rPr>
        <w:t>Backhaul</w:t>
      </w:r>
      <w:r w:rsidRPr="00787C4A">
        <w:t xml:space="preserve">” means intermediate links between the core network, or backbone network, and the small subnetworks at the edge of the network (e.g., connecting cell phones / towers to the core telephone network).  </w:t>
      </w:r>
      <w:r w:rsidR="00BD5573" w:rsidRPr="00787C4A">
        <w:t>Backhaul can be wireless (e.g., microwave) or wired (e.g., fiber optic, coaxial cable, Ethernet).</w:t>
      </w:r>
    </w:p>
    <w:p w14:paraId="026F7F51" w14:textId="77777777" w:rsidR="009A372D" w:rsidRPr="00787C4A" w:rsidRDefault="009A372D" w:rsidP="009A372D">
      <w:pPr>
        <w:pStyle w:val="ListParagraph"/>
        <w:ind w:left="1800"/>
        <w:jc w:val="both"/>
        <w:rPr>
          <w:b/>
          <w:bCs/>
          <w:i/>
          <w:iCs/>
          <w:u w:val="single"/>
        </w:rPr>
      </w:pPr>
    </w:p>
    <w:p w14:paraId="503FBA0D" w14:textId="252F723C" w:rsidR="009F247B" w:rsidRPr="00787C4A" w:rsidRDefault="00E14D16" w:rsidP="002C539E">
      <w:pPr>
        <w:pStyle w:val="ListParagraph"/>
        <w:numPr>
          <w:ilvl w:val="2"/>
          <w:numId w:val="2"/>
        </w:numPr>
        <w:jc w:val="both"/>
        <w:rPr>
          <w:b/>
          <w:bCs/>
          <w:i/>
          <w:iCs/>
          <w:u w:val="single"/>
        </w:rPr>
      </w:pPr>
      <w:r w:rsidRPr="00787C4A">
        <w:t>“</w:t>
      </w:r>
      <w:r w:rsidR="009A372D" w:rsidRPr="00787C4A">
        <w:rPr>
          <w:i/>
          <w:iCs/>
        </w:rPr>
        <w:t>C</w:t>
      </w:r>
      <w:r w:rsidR="002E1412" w:rsidRPr="00787C4A">
        <w:rPr>
          <w:i/>
          <w:iCs/>
        </w:rPr>
        <w:t xml:space="preserve">overed </w:t>
      </w:r>
      <w:r w:rsidR="00487AFA" w:rsidRPr="00787C4A">
        <w:rPr>
          <w:i/>
          <w:iCs/>
        </w:rPr>
        <w:t>F</w:t>
      </w:r>
      <w:r w:rsidR="002E1412" w:rsidRPr="00787C4A">
        <w:rPr>
          <w:i/>
          <w:iCs/>
        </w:rPr>
        <w:t xml:space="preserve">oreign </w:t>
      </w:r>
      <w:r w:rsidR="00487AFA" w:rsidRPr="00787C4A">
        <w:rPr>
          <w:i/>
          <w:iCs/>
        </w:rPr>
        <w:t>C</w:t>
      </w:r>
      <w:r w:rsidR="002E1412" w:rsidRPr="00787C4A">
        <w:rPr>
          <w:i/>
          <w:iCs/>
        </w:rPr>
        <w:t>ountry</w:t>
      </w:r>
      <w:r w:rsidR="00CB5118" w:rsidRPr="00787C4A">
        <w:t>” means the People’s Republic of China.</w:t>
      </w:r>
    </w:p>
    <w:p w14:paraId="75CF4FDC" w14:textId="77777777" w:rsidR="009F247B" w:rsidRPr="00787C4A" w:rsidRDefault="009F247B" w:rsidP="009F247B">
      <w:pPr>
        <w:pStyle w:val="ListParagraph"/>
        <w:ind w:left="1800"/>
        <w:jc w:val="both"/>
        <w:rPr>
          <w:b/>
          <w:bCs/>
          <w:i/>
          <w:iCs/>
          <w:u w:val="single"/>
        </w:rPr>
      </w:pPr>
    </w:p>
    <w:p w14:paraId="4CE32E67" w14:textId="25275995" w:rsidR="009F247B" w:rsidRPr="00787C4A" w:rsidRDefault="00CB5118" w:rsidP="002C539E">
      <w:pPr>
        <w:pStyle w:val="ListParagraph"/>
        <w:numPr>
          <w:ilvl w:val="2"/>
          <w:numId w:val="2"/>
        </w:numPr>
        <w:jc w:val="both"/>
        <w:rPr>
          <w:b/>
          <w:bCs/>
          <w:i/>
          <w:iCs/>
          <w:u w:val="single"/>
        </w:rPr>
      </w:pPr>
      <w:r w:rsidRPr="00787C4A">
        <w:t>“</w:t>
      </w:r>
      <w:r w:rsidR="00487AFA" w:rsidRPr="00787C4A">
        <w:rPr>
          <w:i/>
          <w:iCs/>
        </w:rPr>
        <w:t>C</w:t>
      </w:r>
      <w:r w:rsidR="002E1412" w:rsidRPr="00787C4A">
        <w:rPr>
          <w:i/>
          <w:iCs/>
        </w:rPr>
        <w:t xml:space="preserve">overed </w:t>
      </w:r>
      <w:r w:rsidR="00487AFA" w:rsidRPr="00787C4A">
        <w:rPr>
          <w:i/>
          <w:iCs/>
        </w:rPr>
        <w:t>T</w:t>
      </w:r>
      <w:r w:rsidR="002E1412" w:rsidRPr="00787C4A">
        <w:rPr>
          <w:i/>
          <w:iCs/>
        </w:rPr>
        <w:t xml:space="preserve">elecommunications </w:t>
      </w:r>
      <w:r w:rsidR="00487AFA" w:rsidRPr="00787C4A">
        <w:rPr>
          <w:i/>
          <w:iCs/>
        </w:rPr>
        <w:t>E</w:t>
      </w:r>
      <w:r w:rsidR="002E1412" w:rsidRPr="00787C4A">
        <w:rPr>
          <w:i/>
          <w:iCs/>
        </w:rPr>
        <w:t xml:space="preserve">quipment or </w:t>
      </w:r>
      <w:r w:rsidR="00487AFA" w:rsidRPr="00787C4A">
        <w:rPr>
          <w:i/>
          <w:iCs/>
        </w:rPr>
        <w:t>S</w:t>
      </w:r>
      <w:r w:rsidR="002E1412" w:rsidRPr="00787C4A">
        <w:rPr>
          <w:i/>
          <w:iCs/>
        </w:rPr>
        <w:t>ervices</w:t>
      </w:r>
      <w:r w:rsidRPr="00787C4A">
        <w:t>” means: (a) telecommunications equipment produced by Huawei Technologies Company or ZTE Corporation (or any subsidiary or affiliate of such entities); (b) for the purpose of public safety, security of Government facilities, physical security surveillance of critical infrastructure, and other national security purposes, video surveillance and telecommunications equipment produced by Hytera Communications Corporation</w:t>
      </w:r>
      <w:r w:rsidR="00456FBC" w:rsidRPr="00787C4A">
        <w:t xml:space="preserve">, Hangzhou Hikvision Digital Technology Company, or Dahua Technology Company (or any subsidiary or affiliate of such entities); (c) telecommunications </w:t>
      </w:r>
      <w:r w:rsidR="00C21A23" w:rsidRPr="00787C4A">
        <w:t xml:space="preserve">or video surveillance services provided by such entities or using such equipment; or (d) telecommunications or video surveillance equipment or services produced or provided by an entity that the Secretary of Defense, in consultation with the Director </w:t>
      </w:r>
      <w:r w:rsidR="0065240E" w:rsidRPr="00787C4A">
        <w:t>of National Intelligence or the Director of the Federal Bureau of Investigation, reasonably believes to be an entity owned or controlled by, or otherwise connected to, the government of a Covered Foreign Country.</w:t>
      </w:r>
    </w:p>
    <w:p w14:paraId="22F6F020" w14:textId="77777777" w:rsidR="009F247B" w:rsidRPr="00787C4A" w:rsidRDefault="009F247B" w:rsidP="009F247B">
      <w:pPr>
        <w:pStyle w:val="ListParagraph"/>
        <w:ind w:left="1800"/>
        <w:jc w:val="both"/>
        <w:rPr>
          <w:b/>
          <w:bCs/>
          <w:i/>
          <w:iCs/>
          <w:u w:val="single"/>
        </w:rPr>
      </w:pPr>
    </w:p>
    <w:p w14:paraId="53AA7A86" w14:textId="13860610" w:rsidR="00CD05C7" w:rsidRPr="00787C4A" w:rsidRDefault="00CD05C7" w:rsidP="002F0E07">
      <w:pPr>
        <w:pStyle w:val="ListParagraph"/>
        <w:numPr>
          <w:ilvl w:val="2"/>
          <w:numId w:val="2"/>
        </w:numPr>
        <w:jc w:val="both"/>
      </w:pPr>
      <w:r w:rsidRPr="00787C4A">
        <w:lastRenderedPageBreak/>
        <w:t>“</w:t>
      </w:r>
      <w:r w:rsidRPr="00787C4A">
        <w:rPr>
          <w:i/>
          <w:iCs/>
        </w:rPr>
        <w:t>Critical Technology</w:t>
      </w:r>
      <w:r w:rsidRPr="00787C4A">
        <w:t>”</w:t>
      </w:r>
      <w:r w:rsidR="009E186F" w:rsidRPr="00787C4A">
        <w:rPr>
          <w:rStyle w:val="FootnoteReference"/>
        </w:rPr>
        <w:footnoteReference w:id="39"/>
      </w:r>
      <w:r w:rsidRPr="00787C4A">
        <w:t xml:space="preserve"> means </w:t>
      </w:r>
      <w:r w:rsidR="009735EA" w:rsidRPr="00787C4A">
        <w:t xml:space="preserve">(1) </w:t>
      </w:r>
      <w:r w:rsidR="003D368F" w:rsidRPr="00787C4A">
        <w:t>d</w:t>
      </w:r>
      <w:r w:rsidR="00FA1304" w:rsidRPr="00787C4A">
        <w:t xml:space="preserve">efense articles or defense services included on the United States Munitions List set forth in the International Traffic in Arms Regulations under subchapter M of chapter I of title 22, Code of Federal Regulations; (2) </w:t>
      </w:r>
      <w:r w:rsidR="003D368F" w:rsidRPr="00787C4A">
        <w:t>i</w:t>
      </w:r>
      <w:r w:rsidR="00FA1304" w:rsidRPr="00787C4A">
        <w:t>tems included on the Commerce Control List set forth in Supplement No. 1 to part 774 of the Export Administration Regulations under subchapter C of chapter VII of title 15, Code of Federal Regulations, and controlled</w:t>
      </w:r>
      <w:r w:rsidR="00DD5444" w:rsidRPr="00787C4A">
        <w:t xml:space="preserve"> </w:t>
      </w:r>
      <w:r w:rsidR="00FA1304" w:rsidRPr="00787C4A">
        <w:t xml:space="preserve">(i) pursuant to multilateral regimes, including for reasons relating to national security, chemical and biological weapons proliferation, nuclear nonproliferation, or missile technology; or (ii) for reasons relating to regional stability or surreptitious listening; (3) </w:t>
      </w:r>
      <w:r w:rsidR="00A51D09">
        <w:t>s</w:t>
      </w:r>
      <w:r w:rsidR="00FA1304" w:rsidRPr="00787C4A">
        <w:t xml:space="preserve">pecially designed and prepared nuclear equipment, parts and components, materials, software, and technology covered by part 810 of title 10, Code of Federal Regulations (relating to assistance to foreign atomic energy activities); (4) </w:t>
      </w:r>
      <w:r w:rsidR="00DD5444" w:rsidRPr="00787C4A">
        <w:t>n</w:t>
      </w:r>
      <w:r w:rsidR="00FA1304" w:rsidRPr="00787C4A">
        <w:t>uclear facilities, equipment, and material covered by part 110 of title 10, Code of Federal Regulations (relating to export and import of nuclear equipment and material);</w:t>
      </w:r>
      <w:r w:rsidR="002F0E07" w:rsidRPr="00787C4A">
        <w:t xml:space="preserve"> </w:t>
      </w:r>
      <w:r w:rsidR="00FA1304" w:rsidRPr="00787C4A">
        <w:t xml:space="preserve">(5) </w:t>
      </w:r>
      <w:r w:rsidR="00DD5444" w:rsidRPr="00787C4A">
        <w:t>s</w:t>
      </w:r>
      <w:r w:rsidR="00FA1304" w:rsidRPr="00787C4A">
        <w:t xml:space="preserve">elect agents and toxins covered by part 331 of title 7, Code of Federal Regulations, part 121 of title 9 of such Code, or part 73 of title 42 of such Code; or (6) </w:t>
      </w:r>
      <w:r w:rsidR="00DD5444" w:rsidRPr="00787C4A">
        <w:t>e</w:t>
      </w:r>
      <w:r w:rsidR="00FA1304" w:rsidRPr="00787C4A">
        <w:t>merging and foundational technologies controlled pursuant to section 1758 of the Export Control Reform Act of 2018 (50 U.S.C. 4817).</w:t>
      </w:r>
    </w:p>
    <w:p w14:paraId="5169AD8C" w14:textId="77777777" w:rsidR="002F0E07" w:rsidRPr="00787C4A" w:rsidRDefault="002F0E07" w:rsidP="002F0E07">
      <w:pPr>
        <w:pStyle w:val="ListParagraph"/>
        <w:ind w:left="1800"/>
        <w:jc w:val="both"/>
      </w:pPr>
    </w:p>
    <w:p w14:paraId="5C9D4703" w14:textId="7585DFC2" w:rsidR="009F247B" w:rsidRPr="00787C4A" w:rsidRDefault="00D7712F" w:rsidP="002C539E">
      <w:pPr>
        <w:pStyle w:val="ListParagraph"/>
        <w:numPr>
          <w:ilvl w:val="2"/>
          <w:numId w:val="2"/>
        </w:numPr>
        <w:jc w:val="both"/>
        <w:rPr>
          <w:b/>
          <w:bCs/>
          <w:i/>
          <w:iCs/>
          <w:u w:val="single"/>
        </w:rPr>
      </w:pPr>
      <w:r w:rsidRPr="00787C4A">
        <w:t>“</w:t>
      </w:r>
      <w:r w:rsidRPr="00787C4A">
        <w:rPr>
          <w:i/>
          <w:iCs/>
        </w:rPr>
        <w:t>Interconnection Arrangements</w:t>
      </w:r>
      <w:r w:rsidRPr="00787C4A">
        <w:t xml:space="preserve">” means arrangements governing </w:t>
      </w:r>
      <w:r w:rsidR="008E393E" w:rsidRPr="00787C4A">
        <w:t>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r w:rsidR="002E1412" w:rsidRPr="00787C4A">
        <w:t xml:space="preserve"> </w:t>
      </w:r>
    </w:p>
    <w:p w14:paraId="38963BB7" w14:textId="77777777" w:rsidR="009F247B" w:rsidRPr="00787C4A" w:rsidRDefault="009F247B" w:rsidP="009F247B">
      <w:pPr>
        <w:pStyle w:val="ListParagraph"/>
        <w:ind w:left="1800"/>
        <w:jc w:val="both"/>
        <w:rPr>
          <w:b/>
          <w:bCs/>
          <w:i/>
          <w:iCs/>
          <w:u w:val="single"/>
        </w:rPr>
      </w:pPr>
    </w:p>
    <w:p w14:paraId="43643E57" w14:textId="293F1FBA" w:rsidR="009F247B" w:rsidRPr="00787C4A" w:rsidRDefault="00E805D1" w:rsidP="002C539E">
      <w:pPr>
        <w:pStyle w:val="ListParagraph"/>
        <w:numPr>
          <w:ilvl w:val="2"/>
          <w:numId w:val="2"/>
        </w:numPr>
        <w:jc w:val="both"/>
        <w:rPr>
          <w:b/>
          <w:bCs/>
          <w:i/>
          <w:iCs/>
          <w:u w:val="single"/>
        </w:rPr>
      </w:pPr>
      <w:r w:rsidRPr="00787C4A">
        <w:t>“</w:t>
      </w:r>
      <w:r w:rsidRPr="00787C4A">
        <w:rPr>
          <w:i/>
          <w:iCs/>
        </w:rPr>
        <w:t>Roaming</w:t>
      </w:r>
      <w:r w:rsidRPr="00787C4A">
        <w:t xml:space="preserve">” means cellular communications services (e.g., </w:t>
      </w:r>
      <w:r w:rsidR="00302C32" w:rsidRPr="00787C4A">
        <w:t>voice</w:t>
      </w:r>
      <w:r w:rsidRPr="00787C4A">
        <w:t>, video</w:t>
      </w:r>
      <w:r w:rsidR="00302C32" w:rsidRPr="00787C4A">
        <w:t>, data) received from a visited network when unable to connect to the facilities of the home network either because signal coverage is too weak or because traffic is too high.</w:t>
      </w:r>
      <w:r w:rsidR="002E1412" w:rsidRPr="00787C4A">
        <w:t xml:space="preserve"> </w:t>
      </w:r>
    </w:p>
    <w:p w14:paraId="791C674C" w14:textId="77777777" w:rsidR="009F247B" w:rsidRPr="00787C4A" w:rsidRDefault="009F247B" w:rsidP="009F247B">
      <w:pPr>
        <w:pStyle w:val="ListParagraph"/>
        <w:ind w:left="1800"/>
        <w:jc w:val="both"/>
        <w:rPr>
          <w:b/>
          <w:bCs/>
          <w:i/>
          <w:iCs/>
          <w:u w:val="single"/>
        </w:rPr>
      </w:pPr>
    </w:p>
    <w:p w14:paraId="26AEA169" w14:textId="76DB7B55" w:rsidR="009F247B" w:rsidRPr="00787C4A" w:rsidRDefault="00352A9B" w:rsidP="002C539E">
      <w:pPr>
        <w:pStyle w:val="ListParagraph"/>
        <w:numPr>
          <w:ilvl w:val="2"/>
          <w:numId w:val="2"/>
        </w:numPr>
        <w:jc w:val="both"/>
        <w:rPr>
          <w:b/>
          <w:bCs/>
          <w:i/>
          <w:iCs/>
          <w:u w:val="single"/>
        </w:rPr>
      </w:pPr>
      <w:r w:rsidRPr="00787C4A">
        <w:t>“</w:t>
      </w:r>
      <w:r w:rsidR="009F247B" w:rsidRPr="00787C4A">
        <w:rPr>
          <w:i/>
          <w:iCs/>
        </w:rPr>
        <w:t>S</w:t>
      </w:r>
      <w:r w:rsidR="002E1412" w:rsidRPr="00787C4A">
        <w:rPr>
          <w:i/>
          <w:iCs/>
        </w:rPr>
        <w:t xml:space="preserve">ubstantial or </w:t>
      </w:r>
      <w:r w:rsidRPr="00787C4A">
        <w:rPr>
          <w:i/>
          <w:iCs/>
        </w:rPr>
        <w:t>Essential Component</w:t>
      </w:r>
      <w:r w:rsidRPr="00787C4A">
        <w:t>” means any component necessary for the proper function or performance of a piece of equipment, system, or service.</w:t>
      </w:r>
    </w:p>
    <w:p w14:paraId="18201F1C" w14:textId="77777777" w:rsidR="009F247B" w:rsidRPr="00787C4A" w:rsidRDefault="009F247B" w:rsidP="009F247B">
      <w:pPr>
        <w:pStyle w:val="ListParagraph"/>
        <w:ind w:left="1800"/>
        <w:jc w:val="both"/>
        <w:rPr>
          <w:b/>
          <w:bCs/>
          <w:i/>
          <w:iCs/>
          <w:u w:val="single"/>
        </w:rPr>
      </w:pPr>
    </w:p>
    <w:p w14:paraId="00B991CC" w14:textId="48C01189" w:rsidR="002E1412" w:rsidRPr="00787C4A" w:rsidRDefault="00352A9B" w:rsidP="002C539E">
      <w:pPr>
        <w:pStyle w:val="ListParagraph"/>
        <w:numPr>
          <w:ilvl w:val="2"/>
          <w:numId w:val="2"/>
        </w:numPr>
        <w:jc w:val="both"/>
        <w:rPr>
          <w:b/>
          <w:bCs/>
          <w:i/>
          <w:iCs/>
          <w:u w:val="single"/>
        </w:rPr>
      </w:pPr>
      <w:r w:rsidRPr="00787C4A">
        <w:t>“</w:t>
      </w:r>
      <w:r w:rsidRPr="00787C4A">
        <w:rPr>
          <w:i/>
          <w:iCs/>
        </w:rPr>
        <w:t>T</w:t>
      </w:r>
      <w:r w:rsidR="002E1412" w:rsidRPr="00787C4A">
        <w:rPr>
          <w:i/>
          <w:iCs/>
        </w:rPr>
        <w:t xml:space="preserve">elecommunications </w:t>
      </w:r>
      <w:r w:rsidRPr="00787C4A">
        <w:rPr>
          <w:i/>
          <w:iCs/>
        </w:rPr>
        <w:t>E</w:t>
      </w:r>
      <w:r w:rsidR="002E1412" w:rsidRPr="00787C4A">
        <w:rPr>
          <w:i/>
          <w:iCs/>
        </w:rPr>
        <w:t xml:space="preserve">quipment or </w:t>
      </w:r>
      <w:r w:rsidRPr="00787C4A">
        <w:rPr>
          <w:i/>
          <w:iCs/>
        </w:rPr>
        <w:t>S</w:t>
      </w:r>
      <w:r w:rsidR="002E1412" w:rsidRPr="00787C4A">
        <w:rPr>
          <w:i/>
          <w:iCs/>
        </w:rPr>
        <w:t>ervices</w:t>
      </w:r>
      <w:r w:rsidRPr="00787C4A">
        <w:t>”</w:t>
      </w:r>
      <w:r w:rsidR="002E1412" w:rsidRPr="00787C4A">
        <w:t xml:space="preserve"> </w:t>
      </w:r>
      <w:r w:rsidRPr="00787C4A">
        <w:t>means telecommunications or video surveillance equipment or services, such as, but not limited to, mobile phones, land lines, internet, video surveillance, and cloud services.</w:t>
      </w:r>
    </w:p>
    <w:p w14:paraId="250A6AFD" w14:textId="77777777" w:rsidR="002E1412" w:rsidRPr="00787C4A" w:rsidRDefault="002E1412" w:rsidP="002E1412">
      <w:pPr>
        <w:pStyle w:val="ListParagraph"/>
        <w:ind w:left="900"/>
        <w:jc w:val="both"/>
        <w:rPr>
          <w:b/>
          <w:bCs/>
          <w:i/>
          <w:iCs/>
          <w:u w:val="single"/>
        </w:rPr>
      </w:pPr>
    </w:p>
    <w:p w14:paraId="22FCFB17" w14:textId="0E64ABD2" w:rsidR="00487AFA" w:rsidRPr="00787C4A" w:rsidRDefault="00487AFA" w:rsidP="002E1412">
      <w:pPr>
        <w:pStyle w:val="ListParagraph"/>
        <w:numPr>
          <w:ilvl w:val="1"/>
          <w:numId w:val="2"/>
        </w:numPr>
        <w:jc w:val="both"/>
        <w:rPr>
          <w:b/>
          <w:bCs/>
          <w:i/>
          <w:iCs/>
          <w:u w:val="single"/>
        </w:rPr>
      </w:pPr>
      <w:r w:rsidRPr="00787C4A">
        <w:rPr>
          <w:i/>
          <w:iCs/>
        </w:rPr>
        <w:t>Prohibitions</w:t>
      </w:r>
      <w:r w:rsidRPr="00787C4A">
        <w:t>.</w:t>
      </w:r>
    </w:p>
    <w:p w14:paraId="472061FE" w14:textId="77777777" w:rsidR="00487AFA" w:rsidRPr="00787C4A" w:rsidRDefault="00487AFA" w:rsidP="00487AFA">
      <w:pPr>
        <w:pStyle w:val="ListParagraph"/>
        <w:ind w:left="1260"/>
        <w:jc w:val="both"/>
        <w:rPr>
          <w:b/>
          <w:bCs/>
          <w:i/>
          <w:iCs/>
          <w:u w:val="single"/>
        </w:rPr>
      </w:pPr>
    </w:p>
    <w:p w14:paraId="5BB01D66" w14:textId="7597647F" w:rsidR="00487AFA" w:rsidRPr="00787C4A" w:rsidRDefault="009F7F81" w:rsidP="00487AFA">
      <w:pPr>
        <w:pStyle w:val="ListParagraph"/>
        <w:numPr>
          <w:ilvl w:val="2"/>
          <w:numId w:val="2"/>
        </w:numPr>
        <w:jc w:val="both"/>
        <w:rPr>
          <w:b/>
          <w:bCs/>
          <w:i/>
          <w:iCs/>
          <w:u w:val="single"/>
        </w:rPr>
      </w:pPr>
      <w:r w:rsidRPr="00787C4A">
        <w:t xml:space="preserve">Section 889(b) of the John S. McCain National Defense Authorization Act for Fiscal Year 2019, Pub. L. No. 115-232 and 2 C.F.R. § 200.216 prohibit the head of an executive agency on or after August 13, 2020, from obtaining or expending grant, </w:t>
      </w:r>
      <w:r w:rsidRPr="00787C4A">
        <w:lastRenderedPageBreak/>
        <w:t>cooperative agreement, loan, or loan guarantee funds on certain telecommunications products or from certain entities for national security reasons.</w:t>
      </w:r>
    </w:p>
    <w:p w14:paraId="4BF75FEF" w14:textId="77777777" w:rsidR="009F7F81" w:rsidRPr="00787C4A" w:rsidRDefault="009F7F81" w:rsidP="009F7F81">
      <w:pPr>
        <w:pStyle w:val="ListParagraph"/>
        <w:ind w:left="1800"/>
        <w:jc w:val="both"/>
        <w:rPr>
          <w:b/>
          <w:bCs/>
          <w:i/>
          <w:iCs/>
          <w:u w:val="single"/>
        </w:rPr>
      </w:pPr>
    </w:p>
    <w:p w14:paraId="7A8C5B4C" w14:textId="5330FCCE" w:rsidR="009F7F81" w:rsidRPr="00787C4A" w:rsidRDefault="00C13E19" w:rsidP="1D0E235B">
      <w:pPr>
        <w:pStyle w:val="ListParagraph"/>
        <w:numPr>
          <w:ilvl w:val="2"/>
          <w:numId w:val="2"/>
        </w:numPr>
        <w:jc w:val="both"/>
        <w:rPr>
          <w:b/>
          <w:bCs/>
          <w:i/>
          <w:iCs/>
          <w:u w:val="single"/>
        </w:rPr>
      </w:pPr>
      <w:r>
        <w:t xml:space="preserve">Unless an exception in </w:t>
      </w:r>
      <w:r w:rsidR="00F347D0">
        <w:rPr>
          <w:u w:val="single"/>
        </w:rPr>
        <w:t>Section X(c)</w:t>
      </w:r>
      <w:r w:rsidR="00F347D0" w:rsidRPr="00F347D0">
        <w:t xml:space="preserve"> </w:t>
      </w:r>
      <w:r>
        <w:t xml:space="preserve">applies, Contractor and </w:t>
      </w:r>
      <w:r w:rsidR="00EC6204">
        <w:t xml:space="preserve">any </w:t>
      </w:r>
      <w:r>
        <w:t>Subcontractors may not use grant, cooperative agreement, loan, or loan guarantee funds (including, without limitation, Fiscal Recovery Funds)</w:t>
      </w:r>
      <w:r w:rsidR="00352A9B">
        <w:t xml:space="preserve"> received</w:t>
      </w:r>
      <w:r>
        <w:t xml:space="preserve"> from </w:t>
      </w:r>
      <w:r w:rsidR="00352A9B">
        <w:t>a</w:t>
      </w:r>
      <w:r>
        <w:t xml:space="preserve"> Federal</w:t>
      </w:r>
      <w:r w:rsidR="00352A9B">
        <w:t xml:space="preserve"> government</w:t>
      </w:r>
      <w:r>
        <w:t xml:space="preserve"> to:</w:t>
      </w:r>
    </w:p>
    <w:p w14:paraId="2B79BE22" w14:textId="77777777" w:rsidR="00EC6204" w:rsidRPr="00787C4A" w:rsidRDefault="00EC6204" w:rsidP="00EC6204">
      <w:pPr>
        <w:pStyle w:val="ListParagraph"/>
        <w:ind w:left="1800"/>
        <w:jc w:val="both"/>
        <w:rPr>
          <w:b/>
          <w:bCs/>
          <w:i/>
          <w:iCs/>
          <w:u w:val="single"/>
        </w:rPr>
      </w:pPr>
    </w:p>
    <w:p w14:paraId="79E643B1" w14:textId="444D0E29" w:rsidR="00C13E19" w:rsidRPr="00787C4A" w:rsidRDefault="00C13E19" w:rsidP="00C13E19">
      <w:pPr>
        <w:pStyle w:val="ListParagraph"/>
        <w:numPr>
          <w:ilvl w:val="3"/>
          <w:numId w:val="2"/>
        </w:numPr>
        <w:jc w:val="both"/>
        <w:rPr>
          <w:b/>
          <w:bCs/>
          <w:u w:val="single"/>
        </w:rPr>
      </w:pPr>
      <w:r w:rsidRPr="00787C4A">
        <w:t xml:space="preserve">Procure or obtain any equipment, system, or services that uses </w:t>
      </w:r>
      <w:r w:rsidR="00352A9B" w:rsidRPr="00787C4A">
        <w:t>Covered Telecommunications Equipment or Services</w:t>
      </w:r>
      <w:r w:rsidRPr="00787C4A">
        <w:t xml:space="preserve"> as a </w:t>
      </w:r>
      <w:r w:rsidR="00352A9B" w:rsidRPr="00787C4A">
        <w:t>Substantial or Essential Component</w:t>
      </w:r>
      <w:r w:rsidRPr="00787C4A">
        <w:t xml:space="preserve"> of any system, or as </w:t>
      </w:r>
      <w:r w:rsidR="009E186F" w:rsidRPr="00787C4A">
        <w:t>C</w:t>
      </w:r>
      <w:r w:rsidRPr="00787C4A">
        <w:t xml:space="preserve">ritical </w:t>
      </w:r>
      <w:r w:rsidR="00C3162A" w:rsidRPr="00787C4A">
        <w:t>T</w:t>
      </w:r>
      <w:r w:rsidRPr="00787C4A">
        <w:t xml:space="preserve">echnology of any </w:t>
      </w:r>
      <w:proofErr w:type="gramStart"/>
      <w:r w:rsidRPr="00787C4A">
        <w:t>system;</w:t>
      </w:r>
      <w:proofErr w:type="gramEnd"/>
    </w:p>
    <w:p w14:paraId="024723FE" w14:textId="77777777" w:rsidR="00AD7718" w:rsidRPr="00787C4A" w:rsidRDefault="00AD7718" w:rsidP="00AD7718">
      <w:pPr>
        <w:pStyle w:val="ListParagraph"/>
        <w:ind w:left="3240"/>
        <w:jc w:val="both"/>
        <w:rPr>
          <w:b/>
          <w:bCs/>
          <w:u w:val="single"/>
        </w:rPr>
      </w:pPr>
    </w:p>
    <w:p w14:paraId="4754DD54" w14:textId="4772031D" w:rsidR="00C13E19" w:rsidRPr="00787C4A" w:rsidRDefault="00C13E19" w:rsidP="00C13E19">
      <w:pPr>
        <w:pStyle w:val="ListParagraph"/>
        <w:numPr>
          <w:ilvl w:val="3"/>
          <w:numId w:val="2"/>
        </w:numPr>
        <w:jc w:val="both"/>
        <w:rPr>
          <w:b/>
          <w:bCs/>
          <w:u w:val="single"/>
        </w:rPr>
      </w:pPr>
      <w:r w:rsidRPr="00787C4A">
        <w:t xml:space="preserve">Enter into, extend, or renew a contract to procure or obtain any equipment, system, or service that uses </w:t>
      </w:r>
      <w:r w:rsidR="00352A9B" w:rsidRPr="00787C4A">
        <w:t>C</w:t>
      </w:r>
      <w:r w:rsidRPr="00787C4A">
        <w:t xml:space="preserve">overed </w:t>
      </w:r>
      <w:r w:rsidR="00352A9B" w:rsidRPr="00787C4A">
        <w:t>T</w:t>
      </w:r>
      <w:r w:rsidRPr="00787C4A">
        <w:t xml:space="preserve">elecommunications </w:t>
      </w:r>
      <w:r w:rsidR="00352A9B" w:rsidRPr="00787C4A">
        <w:t>E</w:t>
      </w:r>
      <w:r w:rsidRPr="00787C4A">
        <w:t xml:space="preserve">quipment or </w:t>
      </w:r>
      <w:r w:rsidR="00352A9B" w:rsidRPr="00787C4A">
        <w:t>S</w:t>
      </w:r>
      <w:r w:rsidRPr="00787C4A">
        <w:t xml:space="preserve">ervices as a </w:t>
      </w:r>
      <w:r w:rsidR="00352A9B" w:rsidRPr="00787C4A">
        <w:t>S</w:t>
      </w:r>
      <w:r w:rsidRPr="00787C4A">
        <w:t xml:space="preserve">ubstantial or </w:t>
      </w:r>
      <w:r w:rsidR="00352A9B" w:rsidRPr="00787C4A">
        <w:t>E</w:t>
      </w:r>
      <w:r w:rsidRPr="00787C4A">
        <w:t xml:space="preserve">ssential </w:t>
      </w:r>
      <w:r w:rsidR="00352A9B" w:rsidRPr="00787C4A">
        <w:t>C</w:t>
      </w:r>
      <w:r w:rsidRPr="00787C4A">
        <w:t xml:space="preserve">omponent of any system, or as </w:t>
      </w:r>
      <w:r w:rsidR="006046C0" w:rsidRPr="00787C4A">
        <w:t>C</w:t>
      </w:r>
      <w:r w:rsidRPr="00787C4A">
        <w:t xml:space="preserve">ritical </w:t>
      </w:r>
      <w:r w:rsidR="006046C0" w:rsidRPr="00787C4A">
        <w:t>T</w:t>
      </w:r>
      <w:r w:rsidRPr="00787C4A">
        <w:t xml:space="preserve">echnology of any </w:t>
      </w:r>
      <w:proofErr w:type="gramStart"/>
      <w:r w:rsidRPr="00787C4A">
        <w:t>system;</w:t>
      </w:r>
      <w:proofErr w:type="gramEnd"/>
    </w:p>
    <w:p w14:paraId="5BE35B5C" w14:textId="77777777" w:rsidR="00AD7718" w:rsidRPr="00787C4A" w:rsidRDefault="00AD7718" w:rsidP="00AD7718">
      <w:pPr>
        <w:pStyle w:val="ListParagraph"/>
        <w:ind w:left="3240"/>
        <w:jc w:val="both"/>
        <w:rPr>
          <w:b/>
          <w:bCs/>
          <w:u w:val="single"/>
        </w:rPr>
      </w:pPr>
    </w:p>
    <w:p w14:paraId="6D283AC0" w14:textId="5E899126" w:rsidR="00C13E19" w:rsidRPr="00787C4A" w:rsidRDefault="00AD7718" w:rsidP="00C13E19">
      <w:pPr>
        <w:pStyle w:val="ListParagraph"/>
        <w:numPr>
          <w:ilvl w:val="3"/>
          <w:numId w:val="2"/>
        </w:numPr>
        <w:jc w:val="both"/>
        <w:rPr>
          <w:b/>
          <w:bCs/>
          <w:u w:val="single"/>
        </w:rPr>
      </w:pPr>
      <w:proofErr w:type="gramStart"/>
      <w:r w:rsidRPr="00787C4A">
        <w:t>Enter into</w:t>
      </w:r>
      <w:proofErr w:type="gramEnd"/>
      <w:r w:rsidRPr="00787C4A">
        <w:t xml:space="preserve">, extend, or </w:t>
      </w:r>
      <w:r w:rsidR="00335C10" w:rsidRPr="00787C4A">
        <w:t>renew contracts with</w:t>
      </w:r>
      <w:r w:rsidR="00EC6204" w:rsidRPr="00787C4A">
        <w:t xml:space="preserve"> entities that use </w:t>
      </w:r>
      <w:r w:rsidR="00352A9B" w:rsidRPr="00787C4A">
        <w:t>C</w:t>
      </w:r>
      <w:r w:rsidR="00EC6204" w:rsidRPr="00787C4A">
        <w:t xml:space="preserve">overed </w:t>
      </w:r>
      <w:r w:rsidR="00352A9B" w:rsidRPr="00787C4A">
        <w:t>T</w:t>
      </w:r>
      <w:r w:rsidR="00EC6204" w:rsidRPr="00787C4A">
        <w:t xml:space="preserve">elecommunications </w:t>
      </w:r>
      <w:r w:rsidR="00352A9B" w:rsidRPr="00787C4A">
        <w:t>E</w:t>
      </w:r>
      <w:r w:rsidR="00EC6204" w:rsidRPr="00787C4A">
        <w:t xml:space="preserve">quipment or </w:t>
      </w:r>
      <w:r w:rsidR="00352A9B" w:rsidRPr="00787C4A">
        <w:t>S</w:t>
      </w:r>
      <w:r w:rsidR="00EC6204" w:rsidRPr="00787C4A">
        <w:t xml:space="preserve">ervices as a </w:t>
      </w:r>
      <w:r w:rsidR="00352A9B" w:rsidRPr="00787C4A">
        <w:t>S</w:t>
      </w:r>
      <w:r w:rsidR="00EC6204" w:rsidRPr="00787C4A">
        <w:t xml:space="preserve">ubstantial or </w:t>
      </w:r>
      <w:r w:rsidR="00352A9B" w:rsidRPr="00787C4A">
        <w:t>E</w:t>
      </w:r>
      <w:r w:rsidR="00EC6204" w:rsidRPr="00787C4A">
        <w:t xml:space="preserve">ssential </w:t>
      </w:r>
      <w:r w:rsidR="00352A9B" w:rsidRPr="00787C4A">
        <w:t>C</w:t>
      </w:r>
      <w:r w:rsidR="00EC6204" w:rsidRPr="00787C4A">
        <w:t xml:space="preserve">omponent of any system, or as </w:t>
      </w:r>
      <w:r w:rsidR="006046C0" w:rsidRPr="00787C4A">
        <w:t>C</w:t>
      </w:r>
      <w:r w:rsidR="00EC6204" w:rsidRPr="00787C4A">
        <w:t xml:space="preserve">ritical </w:t>
      </w:r>
      <w:r w:rsidR="006046C0" w:rsidRPr="00787C4A">
        <w:t>T</w:t>
      </w:r>
      <w:r w:rsidR="00EC6204" w:rsidRPr="00787C4A">
        <w:t>echnology as part of any system; or</w:t>
      </w:r>
    </w:p>
    <w:p w14:paraId="098D2551" w14:textId="77777777" w:rsidR="00EC6204" w:rsidRPr="00787C4A" w:rsidRDefault="00EC6204" w:rsidP="00EC6204">
      <w:pPr>
        <w:pStyle w:val="ListParagraph"/>
        <w:ind w:left="3240"/>
        <w:jc w:val="both"/>
        <w:rPr>
          <w:b/>
          <w:bCs/>
          <w:u w:val="single"/>
        </w:rPr>
      </w:pPr>
    </w:p>
    <w:p w14:paraId="0BE01D7D" w14:textId="724AF85A" w:rsidR="00EC6204" w:rsidRPr="00787C4A" w:rsidRDefault="00EC6204" w:rsidP="00C13E19">
      <w:pPr>
        <w:pStyle w:val="ListParagraph"/>
        <w:numPr>
          <w:ilvl w:val="3"/>
          <w:numId w:val="2"/>
        </w:numPr>
        <w:jc w:val="both"/>
      </w:pPr>
      <w:r w:rsidRPr="00787C4A">
        <w:t>Provide, as part of its performance of this Contract</w:t>
      </w:r>
      <w:r w:rsidR="00FC4843" w:rsidRPr="00787C4A">
        <w:t xml:space="preserve">, any Subcontract, or any other contractual instrument, any equipment, system, or service that uses </w:t>
      </w:r>
      <w:r w:rsidR="00974E08" w:rsidRPr="00787C4A">
        <w:t>C</w:t>
      </w:r>
      <w:r w:rsidR="00FC4843" w:rsidRPr="00787C4A">
        <w:t xml:space="preserve">overed </w:t>
      </w:r>
      <w:r w:rsidR="00974E08" w:rsidRPr="00787C4A">
        <w:t>T</w:t>
      </w:r>
      <w:r w:rsidR="00FC4843" w:rsidRPr="00787C4A">
        <w:t>eleco</w:t>
      </w:r>
      <w:r w:rsidR="00974E08" w:rsidRPr="00787C4A">
        <w:t>mmunications Equipment or Services</w:t>
      </w:r>
      <w:r w:rsidR="00FC4843" w:rsidRPr="00787C4A">
        <w:t xml:space="preserve"> as a </w:t>
      </w:r>
      <w:r w:rsidR="00974E08" w:rsidRPr="00787C4A">
        <w:t>S</w:t>
      </w:r>
      <w:r w:rsidR="00FC4843" w:rsidRPr="00787C4A">
        <w:t xml:space="preserve">ubstantial or </w:t>
      </w:r>
      <w:r w:rsidR="00974E08" w:rsidRPr="00787C4A">
        <w:t>E</w:t>
      </w:r>
      <w:r w:rsidR="00FC4843" w:rsidRPr="00787C4A">
        <w:t xml:space="preserve">ssential </w:t>
      </w:r>
      <w:r w:rsidR="00974E08" w:rsidRPr="00787C4A">
        <w:t>C</w:t>
      </w:r>
      <w:r w:rsidR="00FC4843" w:rsidRPr="00787C4A">
        <w:t xml:space="preserve">omponent of any system or as </w:t>
      </w:r>
      <w:r w:rsidR="006046C0" w:rsidRPr="00787C4A">
        <w:t>C</w:t>
      </w:r>
      <w:r w:rsidR="00FC4843" w:rsidRPr="00787C4A">
        <w:t xml:space="preserve">ritical </w:t>
      </w:r>
      <w:r w:rsidR="006046C0" w:rsidRPr="00787C4A">
        <w:t>T</w:t>
      </w:r>
      <w:r w:rsidR="00FC4843" w:rsidRPr="00787C4A">
        <w:t>echnology as part of any system.</w:t>
      </w:r>
    </w:p>
    <w:p w14:paraId="7409CFB4" w14:textId="77777777" w:rsidR="00A75ADC" w:rsidRPr="00787C4A" w:rsidRDefault="00A75ADC" w:rsidP="00A75ADC">
      <w:pPr>
        <w:pStyle w:val="ListParagraph"/>
        <w:ind w:left="3240"/>
        <w:jc w:val="both"/>
      </w:pPr>
    </w:p>
    <w:p w14:paraId="11330909" w14:textId="37721750" w:rsidR="00FC4843" w:rsidRPr="00787C4A" w:rsidRDefault="00FC4843" w:rsidP="00FC4843">
      <w:pPr>
        <w:pStyle w:val="ListParagraph"/>
        <w:numPr>
          <w:ilvl w:val="1"/>
          <w:numId w:val="2"/>
        </w:numPr>
        <w:jc w:val="both"/>
      </w:pPr>
      <w:r w:rsidRPr="00787C4A">
        <w:rPr>
          <w:i/>
          <w:iCs/>
        </w:rPr>
        <w:t>Exceptions</w:t>
      </w:r>
      <w:r w:rsidRPr="00787C4A">
        <w:t>.</w:t>
      </w:r>
    </w:p>
    <w:p w14:paraId="2EF539B2" w14:textId="77777777" w:rsidR="00A75ADC" w:rsidRPr="00787C4A" w:rsidRDefault="00A75ADC" w:rsidP="00A75ADC">
      <w:pPr>
        <w:pStyle w:val="ListParagraph"/>
        <w:ind w:left="1260"/>
        <w:jc w:val="both"/>
      </w:pPr>
    </w:p>
    <w:p w14:paraId="51A6A05C" w14:textId="1F21C7BC" w:rsidR="00FC4843" w:rsidRPr="00787C4A" w:rsidRDefault="00FC4843" w:rsidP="00FC4843">
      <w:pPr>
        <w:pStyle w:val="ListParagraph"/>
        <w:numPr>
          <w:ilvl w:val="2"/>
          <w:numId w:val="2"/>
        </w:numPr>
        <w:jc w:val="both"/>
      </w:pPr>
      <w:r w:rsidRPr="00787C4A">
        <w:t>This clause does not prohibit Contractor or Subcontractors from providing—</w:t>
      </w:r>
    </w:p>
    <w:p w14:paraId="6DF846A5" w14:textId="77777777" w:rsidR="00A75ADC" w:rsidRPr="00787C4A" w:rsidRDefault="00A75ADC" w:rsidP="00A75ADC">
      <w:pPr>
        <w:pStyle w:val="ListParagraph"/>
        <w:ind w:left="1800"/>
        <w:jc w:val="both"/>
      </w:pPr>
    </w:p>
    <w:p w14:paraId="62BB48FA" w14:textId="6BB0404F" w:rsidR="00FC4843" w:rsidRPr="00787C4A" w:rsidRDefault="00FC4843" w:rsidP="00FC4843">
      <w:pPr>
        <w:pStyle w:val="ListParagraph"/>
        <w:numPr>
          <w:ilvl w:val="3"/>
          <w:numId w:val="2"/>
        </w:numPr>
        <w:jc w:val="both"/>
      </w:pPr>
      <w:r w:rsidRPr="00787C4A">
        <w:t xml:space="preserve">A service that connects to the facilities of a third-party, such as </w:t>
      </w:r>
      <w:r w:rsidR="00A75ADC" w:rsidRPr="00787C4A">
        <w:t>B</w:t>
      </w:r>
      <w:r w:rsidRPr="00787C4A">
        <w:t xml:space="preserve">ackhaul, </w:t>
      </w:r>
      <w:r w:rsidR="00A75ADC" w:rsidRPr="00787C4A">
        <w:t>R</w:t>
      </w:r>
      <w:r w:rsidRPr="00787C4A">
        <w:t>oaming</w:t>
      </w:r>
      <w:r w:rsidR="00452C06">
        <w:t>,</w:t>
      </w:r>
      <w:r w:rsidRPr="00787C4A">
        <w:t xml:space="preserve"> or </w:t>
      </w:r>
      <w:r w:rsidR="00A75ADC" w:rsidRPr="00787C4A">
        <w:t>I</w:t>
      </w:r>
      <w:r w:rsidRPr="00787C4A">
        <w:t xml:space="preserve">nterconnection </w:t>
      </w:r>
      <w:r w:rsidR="00A75ADC" w:rsidRPr="00787C4A">
        <w:t>A</w:t>
      </w:r>
      <w:r w:rsidRPr="00787C4A">
        <w:t>greements; or</w:t>
      </w:r>
    </w:p>
    <w:p w14:paraId="6B4E2FCF" w14:textId="77777777" w:rsidR="00A75ADC" w:rsidRPr="00787C4A" w:rsidRDefault="00A75ADC" w:rsidP="00A75ADC">
      <w:pPr>
        <w:pStyle w:val="ListParagraph"/>
        <w:ind w:left="3240"/>
        <w:jc w:val="both"/>
      </w:pPr>
    </w:p>
    <w:p w14:paraId="6D71D080" w14:textId="43F0EBE9" w:rsidR="00FC4843" w:rsidRPr="00787C4A" w:rsidRDefault="00FC4843" w:rsidP="00FC4843">
      <w:pPr>
        <w:pStyle w:val="ListParagraph"/>
        <w:numPr>
          <w:ilvl w:val="3"/>
          <w:numId w:val="2"/>
        </w:numPr>
        <w:jc w:val="both"/>
      </w:pPr>
      <w:r w:rsidRPr="00787C4A">
        <w:t>Telecommunications equipment that cannot route or redirect user data traffic or permit visibility into any user data or packets that such equipment transmits or otherwise handles.</w:t>
      </w:r>
    </w:p>
    <w:p w14:paraId="0C97303A" w14:textId="77777777" w:rsidR="00A75ADC" w:rsidRPr="00787C4A" w:rsidRDefault="00A75ADC" w:rsidP="00A75ADC">
      <w:pPr>
        <w:pStyle w:val="ListParagraph"/>
        <w:ind w:left="3240"/>
        <w:jc w:val="both"/>
      </w:pPr>
    </w:p>
    <w:p w14:paraId="02291E79" w14:textId="01C5A22B" w:rsidR="00FC4843" w:rsidRPr="00787C4A" w:rsidRDefault="00FC4843" w:rsidP="00FC4843">
      <w:pPr>
        <w:pStyle w:val="ListParagraph"/>
        <w:numPr>
          <w:ilvl w:val="2"/>
          <w:numId w:val="2"/>
        </w:numPr>
        <w:jc w:val="both"/>
      </w:pPr>
      <w:r w:rsidRPr="00787C4A">
        <w:t>By necessary implication and regulation, the prohibitions also do not apply to:</w:t>
      </w:r>
    </w:p>
    <w:p w14:paraId="0B2AAD8C" w14:textId="77777777" w:rsidR="00A75ADC" w:rsidRPr="00787C4A" w:rsidRDefault="00A75ADC" w:rsidP="00A75ADC">
      <w:pPr>
        <w:pStyle w:val="ListParagraph"/>
        <w:ind w:left="1800"/>
        <w:jc w:val="both"/>
      </w:pPr>
    </w:p>
    <w:p w14:paraId="570B4076" w14:textId="37AB3756" w:rsidR="00FC4843" w:rsidRPr="00787C4A" w:rsidRDefault="00FC4843" w:rsidP="00FC4843">
      <w:pPr>
        <w:pStyle w:val="ListParagraph"/>
        <w:numPr>
          <w:ilvl w:val="3"/>
          <w:numId w:val="2"/>
        </w:numPr>
        <w:jc w:val="both"/>
      </w:pPr>
      <w:r w:rsidRPr="00787C4A">
        <w:t>Covered telecommunications equipment that:</w:t>
      </w:r>
    </w:p>
    <w:p w14:paraId="3E76B6A8" w14:textId="77777777" w:rsidR="00A75ADC" w:rsidRPr="00787C4A" w:rsidRDefault="00A75ADC" w:rsidP="00A75ADC">
      <w:pPr>
        <w:pStyle w:val="ListParagraph"/>
        <w:ind w:left="3240"/>
        <w:jc w:val="both"/>
      </w:pPr>
    </w:p>
    <w:p w14:paraId="41B77DF4" w14:textId="4A419B04" w:rsidR="00FC4843" w:rsidRPr="00787C4A" w:rsidRDefault="00FC4843" w:rsidP="00FC4843">
      <w:pPr>
        <w:pStyle w:val="ListParagraph"/>
        <w:numPr>
          <w:ilvl w:val="4"/>
          <w:numId w:val="2"/>
        </w:numPr>
        <w:jc w:val="both"/>
      </w:pPr>
      <w:r w:rsidRPr="00787C4A">
        <w:rPr>
          <w:u w:val="single"/>
        </w:rPr>
        <w:t>Are not used</w:t>
      </w:r>
      <w:r w:rsidRPr="00787C4A">
        <w:t xml:space="preserve"> as a </w:t>
      </w:r>
      <w:r w:rsidR="00A53164" w:rsidRPr="00787C4A">
        <w:t>S</w:t>
      </w:r>
      <w:r w:rsidRPr="00787C4A">
        <w:t xml:space="preserve">ubstantial or </w:t>
      </w:r>
      <w:r w:rsidR="00A53164" w:rsidRPr="00787C4A">
        <w:t>E</w:t>
      </w:r>
      <w:r w:rsidRPr="00787C4A">
        <w:t xml:space="preserve">ssential </w:t>
      </w:r>
      <w:r w:rsidR="00A53164" w:rsidRPr="00787C4A">
        <w:t>C</w:t>
      </w:r>
      <w:r w:rsidRPr="00787C4A">
        <w:t>omponent of any system; and</w:t>
      </w:r>
    </w:p>
    <w:p w14:paraId="1863BA71" w14:textId="77777777" w:rsidR="00A75ADC" w:rsidRPr="00787C4A" w:rsidRDefault="00A75ADC" w:rsidP="00A75ADC">
      <w:pPr>
        <w:pStyle w:val="ListParagraph"/>
        <w:ind w:left="3960"/>
        <w:jc w:val="both"/>
      </w:pPr>
    </w:p>
    <w:p w14:paraId="0CCD5E67" w14:textId="2B271E63" w:rsidR="00FC4843" w:rsidRPr="00787C4A" w:rsidRDefault="00FC4843" w:rsidP="00FC4843">
      <w:pPr>
        <w:pStyle w:val="ListParagraph"/>
        <w:numPr>
          <w:ilvl w:val="4"/>
          <w:numId w:val="2"/>
        </w:numPr>
        <w:jc w:val="both"/>
      </w:pPr>
      <w:r w:rsidRPr="00787C4A">
        <w:rPr>
          <w:u w:val="single"/>
        </w:rPr>
        <w:lastRenderedPageBreak/>
        <w:t>Are not used</w:t>
      </w:r>
      <w:r w:rsidRPr="00787C4A">
        <w:t xml:space="preserve"> as </w:t>
      </w:r>
      <w:r w:rsidR="00162B7F" w:rsidRPr="00787C4A">
        <w:t>C</w:t>
      </w:r>
      <w:r w:rsidRPr="00787C4A">
        <w:t xml:space="preserve">ritical </w:t>
      </w:r>
      <w:r w:rsidR="00162B7F" w:rsidRPr="00787C4A">
        <w:t>T</w:t>
      </w:r>
      <w:r w:rsidRPr="00787C4A">
        <w:t>echnology of any system.</w:t>
      </w:r>
    </w:p>
    <w:p w14:paraId="50A3D18F" w14:textId="77777777" w:rsidR="00A75ADC" w:rsidRPr="00787C4A" w:rsidRDefault="00A75ADC" w:rsidP="00A75ADC">
      <w:pPr>
        <w:pStyle w:val="ListParagraph"/>
        <w:ind w:left="3960"/>
        <w:jc w:val="both"/>
      </w:pPr>
    </w:p>
    <w:p w14:paraId="53CA9E65" w14:textId="3E25672C" w:rsidR="00FC4843" w:rsidRPr="00787C4A" w:rsidRDefault="00FC4843" w:rsidP="00FC4843">
      <w:pPr>
        <w:pStyle w:val="ListParagraph"/>
        <w:numPr>
          <w:ilvl w:val="3"/>
          <w:numId w:val="2"/>
        </w:numPr>
        <w:jc w:val="both"/>
      </w:pPr>
      <w:r w:rsidRPr="00787C4A">
        <w:t xml:space="preserve">Other telecommunications equipment or services </w:t>
      </w:r>
      <w:r w:rsidR="0045138B" w:rsidRPr="00787C4A">
        <w:t xml:space="preserve">that are not considered </w:t>
      </w:r>
      <w:r w:rsidR="00A53164" w:rsidRPr="00787C4A">
        <w:t>Covered T</w:t>
      </w:r>
      <w:r w:rsidR="0045138B" w:rsidRPr="00787C4A">
        <w:t xml:space="preserve">elecommunications </w:t>
      </w:r>
      <w:r w:rsidR="00A53164" w:rsidRPr="00787C4A">
        <w:t>E</w:t>
      </w:r>
      <w:r w:rsidR="0045138B" w:rsidRPr="00787C4A">
        <w:t xml:space="preserve">quipment or </w:t>
      </w:r>
      <w:r w:rsidR="00A53164" w:rsidRPr="00787C4A">
        <w:t>S</w:t>
      </w:r>
      <w:r w:rsidR="0045138B" w:rsidRPr="00787C4A">
        <w:t>ervices.</w:t>
      </w:r>
    </w:p>
    <w:p w14:paraId="33E1D407" w14:textId="77777777" w:rsidR="0016550C" w:rsidRPr="00787C4A" w:rsidRDefault="0016550C" w:rsidP="0016550C">
      <w:pPr>
        <w:pStyle w:val="ListParagraph"/>
        <w:ind w:left="3240"/>
        <w:jc w:val="both"/>
      </w:pPr>
    </w:p>
    <w:p w14:paraId="6E3259D4" w14:textId="51E4D699" w:rsidR="0045138B" w:rsidRPr="00787C4A" w:rsidRDefault="00A52908" w:rsidP="00A52908">
      <w:pPr>
        <w:pStyle w:val="ListParagraph"/>
        <w:numPr>
          <w:ilvl w:val="1"/>
          <w:numId w:val="2"/>
        </w:numPr>
        <w:jc w:val="both"/>
        <w:rPr>
          <w:i/>
          <w:iCs/>
        </w:rPr>
      </w:pPr>
      <w:r w:rsidRPr="00787C4A">
        <w:rPr>
          <w:i/>
          <w:iCs/>
        </w:rPr>
        <w:t>Reporting Requirement</w:t>
      </w:r>
    </w:p>
    <w:p w14:paraId="530985DF" w14:textId="77777777" w:rsidR="00A53164" w:rsidRPr="00787C4A" w:rsidRDefault="00A53164" w:rsidP="00A53164">
      <w:pPr>
        <w:pStyle w:val="ListParagraph"/>
        <w:ind w:left="1260"/>
        <w:jc w:val="both"/>
      </w:pPr>
    </w:p>
    <w:p w14:paraId="56406268" w14:textId="3136879D" w:rsidR="00A52908" w:rsidRPr="00787C4A" w:rsidRDefault="00A52908" w:rsidP="00A52908">
      <w:pPr>
        <w:pStyle w:val="ListParagraph"/>
        <w:numPr>
          <w:ilvl w:val="2"/>
          <w:numId w:val="2"/>
        </w:numPr>
        <w:jc w:val="both"/>
      </w:pPr>
      <w:r>
        <w:t xml:space="preserve">In the event Contractor identifies covered Telecommunications Equipment or Services used as a Substantial or Essential Component of any system, or as Critical Technology as part of any system, during Contract performance, or Contractor is notified of such by a Subcontractor at any tier or by any other source, Contractor shall report the information in paragraph [(d)(2)] of this </w:t>
      </w:r>
      <w:r w:rsidR="008E0883">
        <w:rPr>
          <w:u w:val="single"/>
        </w:rPr>
        <w:t>Section X</w:t>
      </w:r>
      <w:r>
        <w:t xml:space="preserve"> to Unit</w:t>
      </w:r>
      <w:r w:rsidR="00F9311E">
        <w:t>, unless elsewhere in this Contract are established procedures for reporting the information.</w:t>
      </w:r>
    </w:p>
    <w:p w14:paraId="2F517C1F" w14:textId="77777777" w:rsidR="005C73AB" w:rsidRPr="00787C4A" w:rsidRDefault="005C73AB" w:rsidP="005C73AB">
      <w:pPr>
        <w:pStyle w:val="ListParagraph"/>
        <w:ind w:left="1800"/>
        <w:jc w:val="both"/>
      </w:pPr>
    </w:p>
    <w:p w14:paraId="4928EBBA" w14:textId="731B1404" w:rsidR="00F9311E" w:rsidRPr="00787C4A" w:rsidRDefault="00F9311E" w:rsidP="00A52908">
      <w:pPr>
        <w:pStyle w:val="ListParagraph"/>
        <w:numPr>
          <w:ilvl w:val="2"/>
          <w:numId w:val="2"/>
        </w:numPr>
        <w:jc w:val="both"/>
      </w:pPr>
      <w:r w:rsidRPr="00787C4A">
        <w:t>C</w:t>
      </w:r>
      <w:r w:rsidR="005C73AB" w:rsidRPr="00787C4A">
        <w:t xml:space="preserve">ontractor shall report the following information </w:t>
      </w:r>
      <w:r w:rsidR="0069520F" w:rsidRPr="00787C4A">
        <w:t xml:space="preserve">to Unit </w:t>
      </w:r>
      <w:r w:rsidR="005C73AB" w:rsidRPr="00787C4A">
        <w:t xml:space="preserve">pursuant to paragraph (d)(1) of this </w:t>
      </w:r>
      <w:r w:rsidR="00306A69">
        <w:rPr>
          <w:u w:val="single"/>
        </w:rPr>
        <w:t>Section X</w:t>
      </w:r>
      <w:r w:rsidR="005C73AB" w:rsidRPr="00787C4A">
        <w:t>:</w:t>
      </w:r>
    </w:p>
    <w:p w14:paraId="4B348E3C" w14:textId="77777777" w:rsidR="0069520F" w:rsidRPr="00787C4A" w:rsidRDefault="0069520F" w:rsidP="0069520F">
      <w:pPr>
        <w:pStyle w:val="ListParagraph"/>
        <w:ind w:left="1800"/>
        <w:jc w:val="both"/>
      </w:pPr>
    </w:p>
    <w:p w14:paraId="1BE0E364" w14:textId="695DF81B" w:rsidR="005C73AB" w:rsidRPr="00787C4A" w:rsidRDefault="005C73AB" w:rsidP="005C73AB">
      <w:pPr>
        <w:pStyle w:val="ListParagraph"/>
        <w:numPr>
          <w:ilvl w:val="3"/>
          <w:numId w:val="2"/>
        </w:numPr>
        <w:jc w:val="both"/>
      </w:pPr>
      <w:r w:rsidRPr="00787C4A">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5041EEA" w14:textId="77777777" w:rsidR="000D2458" w:rsidRPr="00787C4A" w:rsidRDefault="000D2458" w:rsidP="000D2458">
      <w:pPr>
        <w:pStyle w:val="ListParagraph"/>
        <w:ind w:left="3240"/>
        <w:jc w:val="both"/>
      </w:pPr>
    </w:p>
    <w:p w14:paraId="7498D4CE" w14:textId="145DF7AE" w:rsidR="005C73AB" w:rsidRPr="00787C4A" w:rsidRDefault="00CF183F" w:rsidP="005C73AB">
      <w:pPr>
        <w:pStyle w:val="ListParagraph"/>
        <w:numPr>
          <w:ilvl w:val="3"/>
          <w:numId w:val="2"/>
        </w:numPr>
        <w:jc w:val="both"/>
      </w:pPr>
      <w:r w:rsidRPr="00787C4A">
        <w:t xml:space="preserve">Within 10 business days of submitting the information in paragraph (d)(2)(i) of this </w:t>
      </w:r>
      <w:r w:rsidR="00134D7D" w:rsidRPr="00787C4A">
        <w:t>Section</w:t>
      </w:r>
      <w:r w:rsidRPr="00787C4A">
        <w:t>: any further available information about mitigation actions undertaken or recommended.  In addition,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3F38940" w14:textId="77777777" w:rsidR="00504DCB" w:rsidRPr="00787C4A" w:rsidRDefault="00504DCB" w:rsidP="00504DCB">
      <w:pPr>
        <w:pStyle w:val="ListParagraph"/>
        <w:ind w:left="3240"/>
        <w:jc w:val="both"/>
      </w:pPr>
    </w:p>
    <w:p w14:paraId="30F8980D" w14:textId="43A2F080" w:rsidR="00504DCB" w:rsidRPr="00787C4A" w:rsidRDefault="00504DCB" w:rsidP="00504DCB">
      <w:pPr>
        <w:pStyle w:val="ListParagraph"/>
        <w:numPr>
          <w:ilvl w:val="1"/>
          <w:numId w:val="2"/>
        </w:numPr>
        <w:jc w:val="both"/>
      </w:pPr>
      <w:r w:rsidRPr="00787C4A">
        <w:rPr>
          <w:i/>
          <w:iCs/>
        </w:rPr>
        <w:t>Subcontractor</w:t>
      </w:r>
      <w:r w:rsidRPr="00787C4A">
        <w:t xml:space="preserve">.  Contractor shall </w:t>
      </w:r>
      <w:r w:rsidR="001A49E0" w:rsidRPr="00787C4A">
        <w:t>cause to be inserted</w:t>
      </w:r>
      <w:r w:rsidR="006D4C87" w:rsidRPr="00787C4A">
        <w:t xml:space="preserve"> </w:t>
      </w:r>
      <w:r w:rsidRPr="00787C4A">
        <w:t xml:space="preserve">the substance of this </w:t>
      </w:r>
      <w:r w:rsidRPr="001D506D">
        <w:rPr>
          <w:u w:val="single"/>
        </w:rPr>
        <w:t>Section X</w:t>
      </w:r>
      <w:r w:rsidRPr="00787C4A">
        <w:t>, including this paragraph (e), in all Subcontracts and other contractual instruments</w:t>
      </w:r>
      <w:r w:rsidR="009F5B7E">
        <w:t xml:space="preserve"> relating to the performance of this Contract</w:t>
      </w:r>
      <w:r w:rsidRPr="00787C4A">
        <w:t>.</w:t>
      </w:r>
    </w:p>
    <w:p w14:paraId="62742F2C" w14:textId="77777777" w:rsidR="00C73C25" w:rsidRDefault="00C73C25" w:rsidP="00BB514B">
      <w:pPr>
        <w:pStyle w:val="ListParagraph"/>
        <w:ind w:left="1080"/>
        <w:jc w:val="both"/>
      </w:pPr>
    </w:p>
    <w:p w14:paraId="1D6BFDB7" w14:textId="79C7B9EE" w:rsidR="001B5C36" w:rsidRPr="005A008B" w:rsidRDefault="00C73C25" w:rsidP="00BB514B">
      <w:pPr>
        <w:pStyle w:val="ListParagraph"/>
        <w:numPr>
          <w:ilvl w:val="0"/>
          <w:numId w:val="2"/>
        </w:numPr>
        <w:jc w:val="both"/>
        <w:rPr>
          <w:b/>
          <w:bCs/>
          <w:i/>
          <w:iCs/>
          <w:u w:val="single"/>
        </w:rPr>
      </w:pPr>
      <w:r w:rsidRPr="005A008B">
        <w:rPr>
          <w:b/>
          <w:bCs/>
          <w:i/>
          <w:iCs/>
          <w:u w:val="single"/>
        </w:rPr>
        <w:t>Domestic Preferences for Procurements</w:t>
      </w:r>
      <w:r w:rsidR="00686272">
        <w:rPr>
          <w:rStyle w:val="FootnoteReference"/>
          <w:b/>
          <w:bCs/>
          <w:i/>
          <w:iCs/>
          <w:u w:val="single"/>
        </w:rPr>
        <w:footnoteReference w:id="40"/>
      </w:r>
    </w:p>
    <w:p w14:paraId="551AFFE7" w14:textId="77777777" w:rsidR="00D51B32" w:rsidRDefault="00D51B32" w:rsidP="00BB514B">
      <w:pPr>
        <w:pStyle w:val="ListParagraph"/>
        <w:ind w:left="360"/>
        <w:jc w:val="both"/>
      </w:pPr>
    </w:p>
    <w:p w14:paraId="6615BA19" w14:textId="12268C5B" w:rsidR="00410834" w:rsidRDefault="00D51B32" w:rsidP="00BB514B">
      <w:pPr>
        <w:pStyle w:val="ListParagraph"/>
        <w:numPr>
          <w:ilvl w:val="1"/>
          <w:numId w:val="2"/>
        </w:numPr>
        <w:ind w:left="1080"/>
        <w:jc w:val="both"/>
      </w:pPr>
      <w:r>
        <w:t>As applicabl</w:t>
      </w:r>
      <w:r w:rsidR="001B168B">
        <w:t xml:space="preserve">e, </w:t>
      </w:r>
      <w:r w:rsidR="00650BDE">
        <w:t xml:space="preserve">and to the extent consistent with law, Contractor should, to </w:t>
      </w:r>
      <w:r w:rsidR="00410834">
        <w:t xml:space="preserve">the greatest extent practicable, provide a preference for the purchase, acquisition, or use of goods, </w:t>
      </w:r>
      <w:proofErr w:type="gramStart"/>
      <w:r w:rsidR="00410834">
        <w:t>products</w:t>
      </w:r>
      <w:proofErr w:type="gramEnd"/>
      <w:r w:rsidR="00410834">
        <w:t xml:space="preserve"> or materials </w:t>
      </w:r>
      <w:r w:rsidR="00060AF0">
        <w:t>P</w:t>
      </w:r>
      <w:r w:rsidR="00410834">
        <w:t xml:space="preserve">roduced in the United States.  This includes, but is not limited to iron, aluminum, steel, cement, and other </w:t>
      </w:r>
      <w:r w:rsidR="00BB6798">
        <w:t>M</w:t>
      </w:r>
      <w:r w:rsidR="00410834">
        <w:t xml:space="preserve">anufactured </w:t>
      </w:r>
      <w:r w:rsidR="00BB6798">
        <w:t>P</w:t>
      </w:r>
      <w:r w:rsidR="00410834">
        <w:t>roducts.</w:t>
      </w:r>
      <w:r w:rsidR="003674B8">
        <w:t xml:space="preserve">  Contractor shall cause any Subcontractors to include the requirements of this </w:t>
      </w:r>
      <w:r w:rsidR="003674B8" w:rsidRPr="001D506D">
        <w:rPr>
          <w:u w:val="single"/>
        </w:rPr>
        <w:t>Section X</w:t>
      </w:r>
      <w:r w:rsidR="008E32BD">
        <w:rPr>
          <w:u w:val="single"/>
        </w:rPr>
        <w:t>I</w:t>
      </w:r>
      <w:r w:rsidR="003674B8">
        <w:t xml:space="preserve"> in any Subcontracts.</w:t>
      </w:r>
    </w:p>
    <w:p w14:paraId="0E96A55F" w14:textId="77777777" w:rsidR="00307526" w:rsidRDefault="00307526" w:rsidP="00307526">
      <w:pPr>
        <w:pStyle w:val="ListParagraph"/>
        <w:ind w:left="1080"/>
        <w:jc w:val="both"/>
      </w:pPr>
    </w:p>
    <w:p w14:paraId="62257EA8" w14:textId="35E86093" w:rsidR="00410834" w:rsidRDefault="00410834" w:rsidP="00BB514B">
      <w:pPr>
        <w:pStyle w:val="ListParagraph"/>
        <w:numPr>
          <w:ilvl w:val="1"/>
          <w:numId w:val="2"/>
        </w:numPr>
        <w:ind w:left="1080"/>
        <w:jc w:val="both"/>
      </w:pPr>
      <w:r>
        <w:t xml:space="preserve">For purposes of </w:t>
      </w:r>
      <w:r w:rsidR="00060AF0">
        <w:t xml:space="preserve">this </w:t>
      </w:r>
      <w:r w:rsidR="00060AF0" w:rsidRPr="1D0E235B">
        <w:rPr>
          <w:u w:val="single"/>
        </w:rPr>
        <w:t xml:space="preserve">Section </w:t>
      </w:r>
      <w:r w:rsidR="00F61303" w:rsidRPr="1D0E235B">
        <w:rPr>
          <w:u w:val="single"/>
        </w:rPr>
        <w:t>X</w:t>
      </w:r>
      <w:r w:rsidR="008E32BD" w:rsidRPr="1D0E235B">
        <w:rPr>
          <w:u w:val="single"/>
        </w:rPr>
        <w:t>I</w:t>
      </w:r>
      <w:r w:rsidR="00F61303">
        <w:t xml:space="preserve">, the </w:t>
      </w:r>
      <w:r w:rsidR="00C80BBF">
        <w:t>following terms shall mean:</w:t>
      </w:r>
    </w:p>
    <w:p w14:paraId="0ED569A1" w14:textId="77777777" w:rsidR="00060AF0" w:rsidRDefault="00060AF0" w:rsidP="00060AF0">
      <w:pPr>
        <w:pStyle w:val="ListParagraph"/>
        <w:ind w:left="1080"/>
        <w:jc w:val="both"/>
      </w:pPr>
    </w:p>
    <w:p w14:paraId="126297C0" w14:textId="6779C148" w:rsidR="00410834" w:rsidRDefault="00492A9B" w:rsidP="00BB514B">
      <w:pPr>
        <w:pStyle w:val="ListParagraph"/>
        <w:numPr>
          <w:ilvl w:val="2"/>
          <w:numId w:val="2"/>
        </w:numPr>
        <w:jc w:val="both"/>
      </w:pPr>
      <w:r>
        <w:t>“</w:t>
      </w:r>
      <w:r w:rsidR="00060AF0" w:rsidRPr="00060AF0">
        <w:rPr>
          <w:i/>
          <w:iCs/>
        </w:rPr>
        <w:t>P</w:t>
      </w:r>
      <w:r w:rsidR="00410834" w:rsidRPr="00060AF0">
        <w:rPr>
          <w:i/>
          <w:iCs/>
        </w:rPr>
        <w:t>roduced in the United States</w:t>
      </w:r>
      <w:r>
        <w:t>”</w:t>
      </w:r>
      <w:r w:rsidR="00410834">
        <w:t xml:space="preserve"> means, for iron and steel products, that all manufacturing processes, from the initial melting stage through the application of coating, occurred in the United States.</w:t>
      </w:r>
    </w:p>
    <w:p w14:paraId="79A2B147" w14:textId="77777777" w:rsidR="00060AF0" w:rsidRDefault="00060AF0" w:rsidP="00060AF0">
      <w:pPr>
        <w:pStyle w:val="ListParagraph"/>
        <w:ind w:left="1800"/>
        <w:jc w:val="both"/>
      </w:pPr>
    </w:p>
    <w:p w14:paraId="2ABD95F1" w14:textId="6F639DE8" w:rsidR="00410834" w:rsidRDefault="00492A9B" w:rsidP="00BB514B">
      <w:pPr>
        <w:pStyle w:val="ListParagraph"/>
        <w:numPr>
          <w:ilvl w:val="2"/>
          <w:numId w:val="2"/>
        </w:numPr>
        <w:jc w:val="both"/>
      </w:pPr>
      <w:r>
        <w:t>“</w:t>
      </w:r>
      <w:r w:rsidR="00410834" w:rsidRPr="00060AF0">
        <w:rPr>
          <w:i/>
          <w:iCs/>
        </w:rPr>
        <w:t xml:space="preserve">Manufactured </w:t>
      </w:r>
      <w:r w:rsidR="00BB6798">
        <w:rPr>
          <w:i/>
          <w:iCs/>
        </w:rPr>
        <w:t>P</w:t>
      </w:r>
      <w:r w:rsidR="00410834" w:rsidRPr="00060AF0">
        <w:rPr>
          <w:i/>
          <w:iCs/>
        </w:rPr>
        <w:t>roducts</w:t>
      </w:r>
      <w:r>
        <w:t>”</w:t>
      </w:r>
      <w:r w:rsidR="00410834">
        <w:t xml:space="preserve"> means items and construction materials composed in whole or in part of non-ferrous metals such as aluminum; plastics and polymer-based products such as polyvinyl chloride pipe; aggregates such as concrete; glass, including optical fiber; and lumber.</w:t>
      </w:r>
    </w:p>
    <w:p w14:paraId="60E3BDD3" w14:textId="77777777" w:rsidR="005A008B" w:rsidRDefault="005A008B" w:rsidP="005A008B">
      <w:pPr>
        <w:pStyle w:val="ListParagraph"/>
        <w:ind w:left="1800"/>
        <w:jc w:val="both"/>
      </w:pPr>
    </w:p>
    <w:p w14:paraId="5BADCE8E" w14:textId="3EF62406" w:rsidR="003B7D12" w:rsidRDefault="00567675" w:rsidP="003B7D12">
      <w:pPr>
        <w:pStyle w:val="ListParagraph"/>
        <w:numPr>
          <w:ilvl w:val="0"/>
          <w:numId w:val="2"/>
        </w:numPr>
        <w:jc w:val="both"/>
        <w:rPr>
          <w:b/>
          <w:bCs/>
          <w:i/>
          <w:iCs/>
          <w:u w:val="single"/>
        </w:rPr>
      </w:pPr>
      <w:r>
        <w:rPr>
          <w:b/>
          <w:bCs/>
          <w:i/>
          <w:iCs/>
          <w:u w:val="single"/>
        </w:rPr>
        <w:t xml:space="preserve">Solicitation of </w:t>
      </w:r>
      <w:r w:rsidR="001336A5">
        <w:rPr>
          <w:b/>
          <w:bCs/>
          <w:i/>
          <w:iCs/>
          <w:u w:val="single"/>
        </w:rPr>
        <w:t>Minority and Women-Owned Business Enterprises</w:t>
      </w:r>
      <w:r w:rsidR="00742867">
        <w:rPr>
          <w:rStyle w:val="FootnoteReference"/>
          <w:b/>
          <w:bCs/>
          <w:i/>
          <w:iCs/>
          <w:u w:val="single"/>
        </w:rPr>
        <w:footnoteReference w:id="41"/>
      </w:r>
    </w:p>
    <w:p w14:paraId="091DD8AC" w14:textId="77777777" w:rsidR="003B7D12" w:rsidRPr="003B7D12" w:rsidRDefault="003B7D12" w:rsidP="003B7D12">
      <w:pPr>
        <w:pStyle w:val="ListParagraph"/>
        <w:ind w:left="360"/>
        <w:jc w:val="both"/>
        <w:rPr>
          <w:b/>
          <w:bCs/>
          <w:u w:val="single"/>
        </w:rPr>
      </w:pPr>
    </w:p>
    <w:p w14:paraId="31AFCCFE" w14:textId="4E52D841" w:rsidR="003B7D12" w:rsidRPr="00741334" w:rsidRDefault="003B7D12" w:rsidP="003B7D12">
      <w:pPr>
        <w:pStyle w:val="ListParagraph"/>
        <w:numPr>
          <w:ilvl w:val="1"/>
          <w:numId w:val="2"/>
        </w:numPr>
        <w:jc w:val="both"/>
        <w:rPr>
          <w:b/>
          <w:bCs/>
          <w:i/>
          <w:iCs/>
          <w:u w:val="single"/>
        </w:rPr>
      </w:pPr>
      <w:r>
        <w:t>If Contractor intends to let any Subcontracts, Contractor shall</w:t>
      </w:r>
      <w:r w:rsidR="00D60134">
        <w:t xml:space="preserve"> (1) place qualified small and minority businesses and women</w:t>
      </w:r>
      <w:r w:rsidR="00492A9B">
        <w:t>’</w:t>
      </w:r>
      <w:r w:rsidR="00D60134">
        <w:t>s business enterprises on its solicitation lists; (2) assure that small and minority businesses, and women</w:t>
      </w:r>
      <w:r w:rsidR="00492A9B">
        <w:t>’</w:t>
      </w:r>
      <w:r w:rsidR="00D60134">
        <w:t xml:space="preserve">s business enterprises are solicited whenever they are potential sources; (3) divide total requirements, when economically feasible, into smaller tasks or quantities to permit maximum participation by small and minority </w:t>
      </w:r>
      <w:r w:rsidR="002E62C6">
        <w:t>businesses, and women</w:t>
      </w:r>
      <w:r w:rsidR="00492A9B">
        <w:t>’</w:t>
      </w:r>
      <w:r w:rsidR="002E62C6">
        <w:t>s business enterprises; (4) establish delivery schedules, where the requirement permits, which encourage participation by small and minority businesses, and women</w:t>
      </w:r>
      <w:r w:rsidR="00492A9B">
        <w:t>’</w:t>
      </w:r>
      <w:r w:rsidR="002E62C6">
        <w:t>s business enterprises; (5) use the services and assistance, as appropriate</w:t>
      </w:r>
      <w:r w:rsidR="00775437">
        <w:t xml:space="preserve">, of </w:t>
      </w:r>
      <w:r w:rsidR="002E62C6">
        <w:t xml:space="preserve">the Small Business </w:t>
      </w:r>
      <w:r w:rsidR="002E62C6">
        <w:lastRenderedPageBreak/>
        <w:t>Administration, the Minority Business Development A</w:t>
      </w:r>
      <w:r w:rsidR="00EB233A">
        <w:t>gency</w:t>
      </w:r>
      <w:r w:rsidR="004577CF">
        <w:t xml:space="preserve"> of the Department of Commerce, and the North Carolina Office </w:t>
      </w:r>
      <w:r w:rsidR="00FA563B">
        <w:t>for Historically Underutilized Businesses.</w:t>
      </w:r>
      <w:r w:rsidR="00741334">
        <w:t xml:space="preserve">  </w:t>
      </w:r>
    </w:p>
    <w:p w14:paraId="5B3F1FDC" w14:textId="77777777" w:rsidR="00741334" w:rsidRPr="00741334" w:rsidRDefault="00741334" w:rsidP="00741334">
      <w:pPr>
        <w:pStyle w:val="ListParagraph"/>
        <w:ind w:left="1260"/>
        <w:jc w:val="both"/>
        <w:rPr>
          <w:b/>
          <w:bCs/>
          <w:i/>
          <w:iCs/>
          <w:u w:val="single"/>
        </w:rPr>
      </w:pPr>
    </w:p>
    <w:p w14:paraId="6FD87EDE" w14:textId="7571359B" w:rsidR="00741334" w:rsidRPr="00930C97" w:rsidRDefault="00EF5813" w:rsidP="1D0E235B">
      <w:pPr>
        <w:pStyle w:val="ListParagraph"/>
        <w:numPr>
          <w:ilvl w:val="1"/>
          <w:numId w:val="2"/>
        </w:numPr>
        <w:jc w:val="both"/>
        <w:rPr>
          <w:b/>
          <w:bCs/>
          <w:i/>
          <w:iCs/>
          <w:u w:val="single"/>
        </w:rPr>
      </w:pPr>
      <w:r>
        <w:t xml:space="preserve">For the purposes of </w:t>
      </w:r>
      <w:r w:rsidRPr="00A60E95">
        <w:rPr>
          <w:u w:val="single"/>
        </w:rPr>
        <w:t>Section XII(a)</w:t>
      </w:r>
      <w:r>
        <w:t>, a</w:t>
      </w:r>
      <w:r w:rsidR="00295104">
        <w:t>n</w:t>
      </w:r>
      <w:r w:rsidR="00D416BB">
        <w:t xml:space="preserve"> entity shall qualify </w:t>
      </w:r>
      <w:r w:rsidR="0098669F">
        <w:t xml:space="preserve">(1) </w:t>
      </w:r>
      <w:r w:rsidR="00D416BB">
        <w:t>as a “minority business”</w:t>
      </w:r>
      <w:r w:rsidR="00C9731E">
        <w:t xml:space="preserve"> or “women’s business</w:t>
      </w:r>
      <w:r w:rsidR="000358A1">
        <w:t xml:space="preserve"> enterprise”</w:t>
      </w:r>
      <w:r w:rsidR="00D416BB">
        <w:t xml:space="preserve"> </w:t>
      </w:r>
      <w:r w:rsidR="00295104">
        <w:t xml:space="preserve">if it </w:t>
      </w:r>
      <w:r w:rsidR="005258EB">
        <w:t>is currently certified</w:t>
      </w:r>
      <w:r w:rsidR="00D97352">
        <w:t xml:space="preserve"> as</w:t>
      </w:r>
      <w:r>
        <w:t xml:space="preserve"> </w:t>
      </w:r>
      <w:r w:rsidR="005607A7">
        <w:t>a</w:t>
      </w:r>
      <w:r w:rsidR="00255281">
        <w:t xml:space="preserve"> North Carolina</w:t>
      </w:r>
      <w:r w:rsidR="005607A7">
        <w:t xml:space="preserve"> “historically underutilized business”</w:t>
      </w:r>
      <w:r w:rsidR="00487BFC">
        <w:t xml:space="preserve"> under </w:t>
      </w:r>
      <w:r w:rsidR="00C311AB">
        <w:t>N.C. Gen. Stat.</w:t>
      </w:r>
      <w:r w:rsidR="00487BFC">
        <w:t xml:space="preserve"> </w:t>
      </w:r>
      <w:r w:rsidR="00423EEA">
        <w:t>§ 143-128.4(a),</w:t>
      </w:r>
      <w:r w:rsidR="00CC5D9D">
        <w:t xml:space="preserve"> </w:t>
      </w:r>
      <w:r w:rsidR="0098669F">
        <w:t xml:space="preserve">and (2) as a “small business” </w:t>
      </w:r>
      <w:r w:rsidR="00067729">
        <w:t>if it is independently owned and operated and is qualified under the Small Business Administration criteria and size standards at 13 C.F.R. Part 21.</w:t>
      </w:r>
      <w:r w:rsidR="0098669F">
        <w:t xml:space="preserve"> </w:t>
      </w:r>
      <w:r w:rsidR="00FE5E6D">
        <w:rPr>
          <w:rStyle w:val="FootnoteReference"/>
        </w:rPr>
        <w:footnoteReference w:id="42"/>
      </w:r>
    </w:p>
    <w:p w14:paraId="447D466F" w14:textId="77777777" w:rsidR="00E833E0" w:rsidRPr="00E833E0" w:rsidRDefault="00E833E0" w:rsidP="00E833E0">
      <w:pPr>
        <w:pStyle w:val="ListParagraph"/>
        <w:ind w:left="900"/>
        <w:jc w:val="both"/>
        <w:rPr>
          <w:b/>
          <w:bCs/>
          <w:i/>
          <w:iCs/>
          <w:u w:val="single"/>
        </w:rPr>
      </w:pPr>
    </w:p>
    <w:p w14:paraId="747948F1" w14:textId="41A87EB8" w:rsidR="000E0012" w:rsidRDefault="000E0012" w:rsidP="003D6A83">
      <w:pPr>
        <w:pStyle w:val="ListParagraph"/>
        <w:numPr>
          <w:ilvl w:val="0"/>
          <w:numId w:val="2"/>
        </w:numPr>
        <w:jc w:val="both"/>
        <w:rPr>
          <w:b/>
          <w:bCs/>
          <w:i/>
          <w:iCs/>
          <w:u w:val="single"/>
        </w:rPr>
      </w:pPr>
      <w:r>
        <w:rPr>
          <w:b/>
          <w:bCs/>
          <w:i/>
          <w:iCs/>
          <w:u w:val="single"/>
        </w:rPr>
        <w:t>Access to Records</w:t>
      </w:r>
      <w:r w:rsidR="007D4E65">
        <w:rPr>
          <w:rStyle w:val="FootnoteReference"/>
        </w:rPr>
        <w:footnoteReference w:id="43"/>
      </w:r>
    </w:p>
    <w:p w14:paraId="2F5AE98B" w14:textId="77777777" w:rsidR="00E37DF0" w:rsidRDefault="00E37DF0" w:rsidP="000E0012">
      <w:pPr>
        <w:pStyle w:val="ListParagraph"/>
        <w:ind w:left="360"/>
        <w:jc w:val="both"/>
        <w:rPr>
          <w:b/>
          <w:bCs/>
          <w:i/>
          <w:iCs/>
          <w:u w:val="single"/>
        </w:rPr>
      </w:pPr>
    </w:p>
    <w:p w14:paraId="66CD422B" w14:textId="77777777" w:rsidR="00B411EB" w:rsidRPr="00B411EB" w:rsidRDefault="00A218D0" w:rsidP="00A8092D">
      <w:pPr>
        <w:pStyle w:val="ListParagraph"/>
        <w:numPr>
          <w:ilvl w:val="1"/>
          <w:numId w:val="2"/>
        </w:numPr>
        <w:jc w:val="both"/>
        <w:rPr>
          <w:b/>
          <w:bCs/>
          <w:i/>
          <w:iCs/>
          <w:u w:val="single"/>
        </w:rPr>
      </w:pPr>
      <w:r>
        <w:t>Contractor</w:t>
      </w:r>
      <w:r w:rsidR="00B417EB">
        <w:t xml:space="preserve"> agrees to provide Unit, the U.S. Department of the Treasury,</w:t>
      </w:r>
      <w:r w:rsidR="006E6913">
        <w:t xml:space="preserve"> the Treasury Office of Inspector General</w:t>
      </w:r>
      <w:r w:rsidR="00F60B33">
        <w:t>, the Government Accountability Office, and</w:t>
      </w:r>
      <w:r w:rsidR="00B417EB">
        <w:t xml:space="preserve"> the Comptroller General of the United States, or any of their authorized representatives access to any </w:t>
      </w:r>
      <w:r w:rsidR="002903A5">
        <w:t>records (electronic and otherwise)</w:t>
      </w:r>
      <w:r w:rsidR="00B417EB">
        <w:t xml:space="preserve"> of Cont</w:t>
      </w:r>
      <w:r w:rsidR="002B0C05">
        <w:t>r</w:t>
      </w:r>
      <w:r w:rsidR="00B417EB">
        <w:t xml:space="preserve">actor which are directly pertinent to this Contract </w:t>
      </w:r>
      <w:r w:rsidR="002903A5">
        <w:t xml:space="preserve">to conduct audits or </w:t>
      </w:r>
      <w:r w:rsidR="00B411EB">
        <w:t xml:space="preserve">any </w:t>
      </w:r>
      <w:r w:rsidR="002903A5">
        <w:t>other investigation</w:t>
      </w:r>
      <w:r w:rsidR="004A3476">
        <w:t>.  Contractor agrees to p</w:t>
      </w:r>
      <w:r w:rsidR="00362FF1">
        <w:t xml:space="preserve">ermit any of the foregoing parties to reproduce </w:t>
      </w:r>
      <w:r w:rsidR="00B411EB">
        <w:t xml:space="preserve">such records </w:t>
      </w:r>
      <w:r w:rsidR="00362FF1">
        <w:t>by any means whatsoever or to copy excerpts and transcriptions as reasonably needed.</w:t>
      </w:r>
      <w:r w:rsidR="009F3268">
        <w:t xml:space="preserve">  </w:t>
      </w:r>
    </w:p>
    <w:p w14:paraId="50CEA761" w14:textId="77777777" w:rsidR="00B411EB" w:rsidRPr="00B411EB" w:rsidRDefault="00B411EB" w:rsidP="00B411EB">
      <w:pPr>
        <w:pStyle w:val="ListParagraph"/>
        <w:ind w:left="1260"/>
        <w:jc w:val="both"/>
        <w:rPr>
          <w:b/>
          <w:bCs/>
          <w:i/>
          <w:iCs/>
          <w:u w:val="single"/>
        </w:rPr>
      </w:pPr>
    </w:p>
    <w:p w14:paraId="3EC35E03" w14:textId="75D7B01E" w:rsidR="00B417EB" w:rsidRPr="009F3268" w:rsidRDefault="00EA3B99" w:rsidP="00A8092D">
      <w:pPr>
        <w:pStyle w:val="ListParagraph"/>
        <w:numPr>
          <w:ilvl w:val="1"/>
          <w:numId w:val="2"/>
        </w:numPr>
        <w:jc w:val="both"/>
        <w:rPr>
          <w:b/>
          <w:bCs/>
          <w:i/>
          <w:iCs/>
          <w:u w:val="single"/>
        </w:rPr>
      </w:pPr>
      <w:r>
        <w:t xml:space="preserve">Contractor agrees to retain </w:t>
      </w:r>
      <w:r w:rsidR="006F020B">
        <w:t xml:space="preserve">all records </w:t>
      </w:r>
      <w:r w:rsidR="00B411EB">
        <w:t xml:space="preserve">covered by this </w:t>
      </w:r>
      <w:r w:rsidR="00B411EB" w:rsidRPr="00A60E95">
        <w:rPr>
          <w:u w:val="single"/>
        </w:rPr>
        <w:t>Section XII</w:t>
      </w:r>
      <w:r w:rsidR="00B1427C" w:rsidRPr="00A60E95">
        <w:rPr>
          <w:u w:val="single"/>
        </w:rPr>
        <w:t>I</w:t>
      </w:r>
      <w:r w:rsidR="006F020B">
        <w:t xml:space="preserve"> through December 31, 2031.</w:t>
      </w:r>
    </w:p>
    <w:p w14:paraId="0666A62F" w14:textId="77777777" w:rsidR="00B417EB" w:rsidRPr="00B417EB" w:rsidRDefault="00B417EB" w:rsidP="00B417EB">
      <w:pPr>
        <w:pStyle w:val="ListParagraph"/>
        <w:ind w:left="1260"/>
        <w:jc w:val="both"/>
        <w:rPr>
          <w:b/>
          <w:bCs/>
          <w:i/>
          <w:iCs/>
          <w:u w:val="single"/>
        </w:rPr>
      </w:pPr>
    </w:p>
    <w:p w14:paraId="392056A5" w14:textId="6CFE5771" w:rsidR="003B50B2" w:rsidRDefault="006E4ECE" w:rsidP="003B50B2">
      <w:pPr>
        <w:pStyle w:val="ListParagraph"/>
        <w:numPr>
          <w:ilvl w:val="0"/>
          <w:numId w:val="2"/>
        </w:numPr>
        <w:jc w:val="both"/>
        <w:rPr>
          <w:b/>
          <w:bCs/>
          <w:i/>
          <w:iCs/>
          <w:u w:val="single"/>
        </w:rPr>
      </w:pPr>
      <w:r>
        <w:rPr>
          <w:b/>
          <w:bCs/>
          <w:i/>
          <w:iCs/>
          <w:u w:val="single"/>
        </w:rPr>
        <w:t>Conflicts of Interest</w:t>
      </w:r>
      <w:r w:rsidR="006E6EEA">
        <w:rPr>
          <w:b/>
          <w:bCs/>
          <w:i/>
          <w:iCs/>
          <w:u w:val="single"/>
        </w:rPr>
        <w:t>; Gifts &amp; Favors</w:t>
      </w:r>
      <w:r w:rsidR="007D4E65">
        <w:rPr>
          <w:rStyle w:val="FootnoteReference"/>
          <w:b/>
          <w:bCs/>
          <w:i/>
          <w:iCs/>
          <w:u w:val="single"/>
        </w:rPr>
        <w:footnoteReference w:id="44"/>
      </w:r>
    </w:p>
    <w:p w14:paraId="70EC0729" w14:textId="77777777" w:rsidR="003B50B2" w:rsidRDefault="003B50B2" w:rsidP="003B50B2">
      <w:pPr>
        <w:pStyle w:val="ListParagraph"/>
        <w:ind w:left="360"/>
        <w:jc w:val="both"/>
        <w:rPr>
          <w:b/>
          <w:bCs/>
          <w:i/>
          <w:iCs/>
          <w:u w:val="single"/>
        </w:rPr>
      </w:pPr>
    </w:p>
    <w:p w14:paraId="3A439AE0" w14:textId="4518D5CB" w:rsidR="00A16405" w:rsidRPr="00A16405" w:rsidRDefault="00B411EB" w:rsidP="003B50B2">
      <w:pPr>
        <w:pStyle w:val="ListParagraph"/>
        <w:numPr>
          <w:ilvl w:val="1"/>
          <w:numId w:val="2"/>
        </w:numPr>
        <w:jc w:val="both"/>
        <w:rPr>
          <w:b/>
          <w:bCs/>
          <w:i/>
          <w:iCs/>
          <w:u w:val="single"/>
        </w:rPr>
      </w:pPr>
      <w:r>
        <w:t>Contractor</w:t>
      </w:r>
      <w:r w:rsidR="003B50B2">
        <w:t xml:space="preserve"> understands that </w:t>
      </w:r>
      <w:r>
        <w:t xml:space="preserve">(1) </w:t>
      </w:r>
      <w:r w:rsidR="00A16405">
        <w:t>Unit will use Fiscal Recovery Funds</w:t>
      </w:r>
      <w:r w:rsidR="003B50B2">
        <w:t xml:space="preserve"> to pay for the cost of this </w:t>
      </w:r>
      <w:r>
        <w:t>C</w:t>
      </w:r>
      <w:r w:rsidR="003B50B2">
        <w:t xml:space="preserve">ontract, and </w:t>
      </w:r>
      <w:r w:rsidR="00A16405">
        <w:t>(2)</w:t>
      </w:r>
      <w:r w:rsidR="003B50B2">
        <w:t xml:space="preserve"> the expenditure of Fiscal Recovery Funds is governed by</w:t>
      </w:r>
      <w:r w:rsidR="003B50B2" w:rsidRPr="003B50B2">
        <w:rPr>
          <w:i/>
          <w:iCs/>
        </w:rPr>
        <w:t xml:space="preserve"> </w:t>
      </w:r>
      <w:r w:rsidR="003B50B2">
        <w:t>the [</w:t>
      </w:r>
      <w:r w:rsidR="003B50B2" w:rsidRPr="003B50B2">
        <w:rPr>
          <w:i/>
          <w:iCs/>
        </w:rPr>
        <w:t>Conflict of Interest Policy</w:t>
      </w:r>
      <w:r w:rsidR="003B50B2">
        <w:t xml:space="preserve">] of the </w:t>
      </w:r>
      <w:r w:rsidR="00544BCC">
        <w:t>Unit</w:t>
      </w:r>
      <w:r w:rsidR="003B50B2">
        <w:t xml:space="preserve">, </w:t>
      </w:r>
      <w:r w:rsidR="00A16405">
        <w:t xml:space="preserve">the Regulatory Requirements (including, without limitation, </w:t>
      </w:r>
      <w:r w:rsidR="003B50B2">
        <w:t>2 C.F.R. § 200.318(c)(1)</w:t>
      </w:r>
      <w:r w:rsidR="00DB0158">
        <w:t>)</w:t>
      </w:r>
      <w:r w:rsidR="00A32382">
        <w:t xml:space="preserve">, </w:t>
      </w:r>
      <w:r w:rsidR="003B50B2">
        <w:t xml:space="preserve">and </w:t>
      </w:r>
      <w:r w:rsidR="00BA5E75">
        <w:t xml:space="preserve">North Carolina law (including, without limitation, </w:t>
      </w:r>
      <w:r w:rsidR="003B50B2">
        <w:t>N.C. Gen. Stat. § 14-234(a)(1)</w:t>
      </w:r>
      <w:r w:rsidR="000A189A">
        <w:t xml:space="preserve"> and N.C. Gen. Stat. § 14-234.3(a)).</w:t>
      </w:r>
    </w:p>
    <w:p w14:paraId="6DF5A900" w14:textId="77777777" w:rsidR="00A16405" w:rsidRPr="00A16405" w:rsidRDefault="00A16405" w:rsidP="00A16405">
      <w:pPr>
        <w:pStyle w:val="ListParagraph"/>
        <w:ind w:left="1260"/>
        <w:jc w:val="both"/>
        <w:rPr>
          <w:b/>
          <w:bCs/>
          <w:i/>
          <w:iCs/>
          <w:u w:val="single"/>
        </w:rPr>
      </w:pPr>
    </w:p>
    <w:p w14:paraId="265231BE" w14:textId="097ACD43" w:rsidR="006E4ECE" w:rsidRPr="001536E3" w:rsidRDefault="00A16405" w:rsidP="003B50B2">
      <w:pPr>
        <w:pStyle w:val="ListParagraph"/>
        <w:numPr>
          <w:ilvl w:val="1"/>
          <w:numId w:val="2"/>
        </w:numPr>
        <w:jc w:val="both"/>
        <w:rPr>
          <w:b/>
          <w:bCs/>
          <w:i/>
          <w:iCs/>
          <w:u w:val="single"/>
        </w:rPr>
      </w:pPr>
      <w:r>
        <w:t>Contractor certifi</w:t>
      </w:r>
      <w:r w:rsidR="00FE3403">
        <w:t>es to Unit that</w:t>
      </w:r>
      <w:r w:rsidR="005F41A4">
        <w:t xml:space="preserve"> as of the date hereof</w:t>
      </w:r>
      <w:r w:rsidR="00FE3403">
        <w:t xml:space="preserve">, </w:t>
      </w:r>
      <w:r w:rsidR="00253335">
        <w:t xml:space="preserve">to the best of its knowledge after reasonable inquiry, </w:t>
      </w:r>
      <w:r w:rsidR="003B50B2">
        <w:t xml:space="preserve">no employee, officer, or agent of </w:t>
      </w:r>
      <w:r w:rsidR="00A32382">
        <w:t xml:space="preserve">Unit </w:t>
      </w:r>
      <w:r w:rsidR="00175E39">
        <w:t xml:space="preserve">involved in the selection, award, or administration of this Contract </w:t>
      </w:r>
      <w:r w:rsidR="003B50B2">
        <w:t>(each, a “</w:t>
      </w:r>
      <w:r w:rsidR="003B50B2" w:rsidRPr="00FE3403">
        <w:rPr>
          <w:i/>
          <w:iCs/>
        </w:rPr>
        <w:t>Covered Individual</w:t>
      </w:r>
      <w:r w:rsidR="003B50B2">
        <w:t>”), nor any member of a Covered Individual’s immediate family, nor a Covered Individual’s partner, nor an organization</w:t>
      </w:r>
      <w:r w:rsidR="00A32382">
        <w:t xml:space="preserve"> (including Contractor)</w:t>
      </w:r>
      <w:r w:rsidR="003B50B2">
        <w:t xml:space="preserve"> which employs or is about to employ a Covered Individual, has a financial or other interest in or</w:t>
      </w:r>
      <w:r w:rsidR="00225B09">
        <w:t xml:space="preserve"> has received</w:t>
      </w:r>
      <w:r w:rsidR="003B50B2">
        <w:t xml:space="preserve"> a tangible personal benefit from </w:t>
      </w:r>
      <w:r w:rsidR="003B50B2" w:rsidRPr="00225B09">
        <w:t>Contractor</w:t>
      </w:r>
      <w:r w:rsidR="003B50B2">
        <w:t>.  Should Contractor obtain knowledge of any such</w:t>
      </w:r>
      <w:r w:rsidR="00DB3F74">
        <w:t xml:space="preserve"> </w:t>
      </w:r>
      <w:proofErr w:type="gramStart"/>
      <w:r w:rsidR="00DB3F74">
        <w:t>interest</w:t>
      </w:r>
      <w:proofErr w:type="gramEnd"/>
      <w:r w:rsidR="002735AC">
        <w:t xml:space="preserve"> or</w:t>
      </w:r>
      <w:r w:rsidR="005A289A">
        <w:t xml:space="preserve"> </w:t>
      </w:r>
      <w:r w:rsidR="005D60CC">
        <w:t>a</w:t>
      </w:r>
      <w:r w:rsidR="005A289A">
        <w:t>ny</w:t>
      </w:r>
      <w:r w:rsidR="002735AC">
        <w:t xml:space="preserve"> tangible personal benefit </w:t>
      </w:r>
      <w:r w:rsidR="00DB3F74">
        <w:t>described in the preceding sentence</w:t>
      </w:r>
      <w:r w:rsidR="003B50B2">
        <w:t xml:space="preserve"> after the date hereof, Contractor shall promptly disclose the same to </w:t>
      </w:r>
      <w:r w:rsidR="00225B09">
        <w:t>Unit</w:t>
      </w:r>
      <w:r w:rsidR="003B50B2">
        <w:t xml:space="preserve"> in writing.</w:t>
      </w:r>
    </w:p>
    <w:p w14:paraId="5A111AB7" w14:textId="77777777" w:rsidR="001536E3" w:rsidRPr="001536E3" w:rsidRDefault="001536E3" w:rsidP="001536E3">
      <w:pPr>
        <w:pStyle w:val="ListParagraph"/>
        <w:ind w:left="1260"/>
        <w:jc w:val="both"/>
        <w:rPr>
          <w:b/>
          <w:bCs/>
          <w:i/>
          <w:iCs/>
          <w:u w:val="single"/>
        </w:rPr>
      </w:pPr>
    </w:p>
    <w:p w14:paraId="23A7607E" w14:textId="1D44DB7B" w:rsidR="001536E3" w:rsidRPr="003B50B2" w:rsidRDefault="001536E3" w:rsidP="1D0E235B">
      <w:pPr>
        <w:pStyle w:val="ListParagraph"/>
        <w:numPr>
          <w:ilvl w:val="1"/>
          <w:numId w:val="2"/>
        </w:numPr>
        <w:jc w:val="both"/>
        <w:rPr>
          <w:b/>
          <w:bCs/>
          <w:i/>
          <w:iCs/>
          <w:u w:val="single"/>
        </w:rPr>
      </w:pPr>
      <w:r>
        <w:t xml:space="preserve">Contractor </w:t>
      </w:r>
      <w:r w:rsidR="00003B42">
        <w:t xml:space="preserve">certifies </w:t>
      </w:r>
      <w:r w:rsidR="00705387">
        <w:t xml:space="preserve">to Unit </w:t>
      </w:r>
      <w:r w:rsidR="00003B42">
        <w:t xml:space="preserve">that </w:t>
      </w:r>
      <w:r w:rsidR="00B34315">
        <w:t>it</w:t>
      </w:r>
      <w:r w:rsidR="00003B42">
        <w:t xml:space="preserve"> has not provided, nor offered to provide, any gratuities, favors</w:t>
      </w:r>
      <w:r w:rsidR="003924CC">
        <w:t>, or anything of value to an officer, employee, or agent of Unit.</w:t>
      </w:r>
      <w:r w:rsidR="00B34315">
        <w:t xml:space="preserve"> Should Contractor obtain knowledge of the provision, or offer of a</w:t>
      </w:r>
      <w:r w:rsidR="00BE6248">
        <w:t>ny</w:t>
      </w:r>
      <w:r w:rsidR="00B34315">
        <w:t xml:space="preserve"> provision, of any gratuity, favor, or anything of value to an officer, employee, or agent described in the preceding sentence after the date hereof, Contractor shall promptly disclose the same to Unit in writing.</w:t>
      </w:r>
    </w:p>
    <w:p w14:paraId="581DF3D8" w14:textId="77777777" w:rsidR="003B50B2" w:rsidRPr="003B50B2" w:rsidRDefault="003B50B2" w:rsidP="003B50B2">
      <w:pPr>
        <w:pStyle w:val="ListParagraph"/>
        <w:ind w:left="1260"/>
        <w:jc w:val="both"/>
        <w:rPr>
          <w:b/>
          <w:bCs/>
          <w:i/>
          <w:iCs/>
          <w:u w:val="single"/>
        </w:rPr>
      </w:pPr>
    </w:p>
    <w:p w14:paraId="25D91998" w14:textId="3CDEC0BE" w:rsidR="00CE61D6" w:rsidRDefault="00030C52" w:rsidP="001C12EC">
      <w:pPr>
        <w:pStyle w:val="ListParagraph"/>
        <w:numPr>
          <w:ilvl w:val="0"/>
          <w:numId w:val="2"/>
        </w:numPr>
        <w:jc w:val="both"/>
        <w:rPr>
          <w:b/>
          <w:bCs/>
          <w:i/>
          <w:iCs/>
          <w:u w:val="single"/>
        </w:rPr>
      </w:pPr>
      <w:r>
        <w:rPr>
          <w:b/>
          <w:bCs/>
          <w:i/>
          <w:iCs/>
          <w:u w:val="single"/>
        </w:rPr>
        <w:t xml:space="preserve">Assurances of Compliance with Title VI of the Civil Rights Act of </w:t>
      </w:r>
      <w:r w:rsidR="001C12EC">
        <w:rPr>
          <w:b/>
          <w:bCs/>
          <w:i/>
          <w:iCs/>
          <w:u w:val="single"/>
        </w:rPr>
        <w:t>196</w:t>
      </w:r>
      <w:r w:rsidR="00CE61D6">
        <w:rPr>
          <w:b/>
          <w:bCs/>
          <w:i/>
          <w:iCs/>
          <w:u w:val="single"/>
        </w:rPr>
        <w:t>4</w:t>
      </w:r>
      <w:bookmarkStart w:id="4" w:name="_Ref98243575"/>
      <w:r w:rsidR="00CE61D6">
        <w:rPr>
          <w:rStyle w:val="FootnoteReference"/>
          <w:b/>
          <w:bCs/>
          <w:i/>
          <w:iCs/>
          <w:u w:val="single"/>
        </w:rPr>
        <w:footnoteReference w:id="45"/>
      </w:r>
      <w:bookmarkEnd w:id="4"/>
    </w:p>
    <w:p w14:paraId="77DDDDBE" w14:textId="14B7A1D5" w:rsidR="001C12EC" w:rsidRDefault="001C12EC" w:rsidP="00CE61D6">
      <w:pPr>
        <w:pStyle w:val="ListParagraph"/>
        <w:ind w:left="360"/>
        <w:jc w:val="both"/>
        <w:rPr>
          <w:b/>
          <w:bCs/>
          <w:i/>
          <w:iCs/>
          <w:u w:val="single"/>
        </w:rPr>
      </w:pPr>
    </w:p>
    <w:p w14:paraId="2F3CFD0D" w14:textId="2539C24B" w:rsidR="001C12EC" w:rsidRPr="00A52850" w:rsidRDefault="001C12EC" w:rsidP="001C12EC">
      <w:pPr>
        <w:pStyle w:val="ListParagraph"/>
        <w:numPr>
          <w:ilvl w:val="1"/>
          <w:numId w:val="2"/>
        </w:numPr>
        <w:jc w:val="both"/>
        <w:rPr>
          <w:b/>
          <w:bCs/>
          <w:i/>
          <w:iCs/>
          <w:u w:val="single"/>
        </w:rPr>
      </w:pPr>
      <w:r>
        <w:t xml:space="preserve">Contractor and any Subcontractor, or </w:t>
      </w:r>
      <w:r w:rsidR="00CB0288">
        <w:t>the</w:t>
      </w:r>
      <w:r>
        <w:t xml:space="preserve"> successor, transferee, or assignee of </w:t>
      </w:r>
      <w:r w:rsidR="00CB0288">
        <w:t>Contractor or any Subcontractor, shall</w:t>
      </w:r>
      <w:r w:rsidR="00812979">
        <w:t xml:space="preserve"> </w:t>
      </w:r>
      <w:r w:rsidR="00CB0288">
        <w:t xml:space="preserve">comply with Title </w:t>
      </w:r>
      <w:r w:rsidR="00715016">
        <w:t>VI</w:t>
      </w:r>
      <w:r w:rsidR="004D192D">
        <w:t xml:space="preserve"> of the Civil Rights Act of 1964</w:t>
      </w:r>
      <w:r w:rsidR="000753EE">
        <w:t>, which</w:t>
      </w:r>
      <w:r w:rsidR="004D192D">
        <w:t xml:space="preserve"> prohibits recipients of federal financial assistance from excluding from a program or activity, denying benefits of, or otherwise discriminating against a person on the basis of race, color, or national origin (42 U.S.C. § 2000d et seq.), as implemented by the Department of the Treasury</w:t>
      </w:r>
      <w:r w:rsidR="00492A9B">
        <w:t>’</w:t>
      </w:r>
      <w:r w:rsidR="004D192D">
        <w:t>s Title VI regulations, 31 C.F.R. Part 22</w:t>
      </w:r>
      <w:r w:rsidR="004E4F2F">
        <w:t xml:space="preserve">, which are herein incorporated by reference and made a part of this Contract.  Title VI also includes protection to persons with </w:t>
      </w:r>
      <w:r w:rsidR="00492A9B">
        <w:t>“</w:t>
      </w:r>
      <w:r w:rsidR="004E4F2F">
        <w:t>Limited English Proficiency</w:t>
      </w:r>
      <w:r w:rsidR="00492A9B">
        <w:t>”</w:t>
      </w:r>
      <w:r w:rsidR="004E4F2F">
        <w:t xml:space="preserve"> in any program or activity receiving </w:t>
      </w:r>
      <w:r w:rsidR="0008192A">
        <w:t>federal financial assistance, 42 U.S.C. § 2000d et seq., as implemented by the Department of the Treasury</w:t>
      </w:r>
      <w:r w:rsidR="00492A9B">
        <w:t>’</w:t>
      </w:r>
      <w:r w:rsidR="0008192A">
        <w:t>s Title VI regulations, 31 C.F.R. Part 22, and herein incorporated by reference and made a part of this Contract.</w:t>
      </w:r>
      <w:r w:rsidR="00391BA5">
        <w:rPr>
          <w:rStyle w:val="FootnoteReference"/>
        </w:rPr>
        <w:footnoteReference w:id="46"/>
      </w:r>
      <w:r w:rsidR="00103958">
        <w:t xml:space="preserve"> </w:t>
      </w:r>
    </w:p>
    <w:p w14:paraId="336A332E" w14:textId="77777777" w:rsidR="0080192F" w:rsidRPr="00FC7C3B" w:rsidRDefault="0080192F" w:rsidP="0080192F">
      <w:pPr>
        <w:pStyle w:val="ListParagraph"/>
        <w:ind w:left="1800"/>
        <w:jc w:val="both"/>
        <w:rPr>
          <w:b/>
          <w:bCs/>
          <w:i/>
          <w:iCs/>
          <w:highlight w:val="yellow"/>
          <w:u w:val="single"/>
        </w:rPr>
      </w:pPr>
    </w:p>
    <w:p w14:paraId="637EF8ED" w14:textId="14D76A32" w:rsidR="00FC7C3B" w:rsidRDefault="00E0718B" w:rsidP="00E84053">
      <w:pPr>
        <w:pStyle w:val="ListParagraph"/>
        <w:numPr>
          <w:ilvl w:val="0"/>
          <w:numId w:val="2"/>
        </w:numPr>
        <w:jc w:val="both"/>
      </w:pPr>
      <w:r>
        <w:rPr>
          <w:b/>
          <w:bCs/>
          <w:i/>
          <w:iCs/>
          <w:u w:val="single"/>
        </w:rPr>
        <w:t xml:space="preserve">Other </w:t>
      </w:r>
      <w:r w:rsidR="00FC7C3B">
        <w:rPr>
          <w:b/>
          <w:bCs/>
          <w:i/>
          <w:iCs/>
          <w:u w:val="single"/>
        </w:rPr>
        <w:t>Non-Discrimination Statutes</w:t>
      </w:r>
      <w:r w:rsidR="00FC7C3B">
        <w:t>.  Contractor acknowledges that Unit is bound by and agrees, to the extent applicable</w:t>
      </w:r>
      <w:r>
        <w:t xml:space="preserve"> to Contractor</w:t>
      </w:r>
      <w:r w:rsidR="00FC7C3B">
        <w:t>, to</w:t>
      </w:r>
      <w:r>
        <w:t xml:space="preserve"> abide by the provisions contained in</w:t>
      </w:r>
      <w:r w:rsidR="007E02C7">
        <w:t xml:space="preserve"> the federal statutes enumerated below, and any other </w:t>
      </w:r>
      <w:r w:rsidR="000C5F8B">
        <w:t xml:space="preserve">federal </w:t>
      </w:r>
      <w:proofErr w:type="spellStart"/>
      <w:r w:rsidR="000C5F8B">
        <w:t>statues</w:t>
      </w:r>
      <w:proofErr w:type="spellEnd"/>
      <w:r w:rsidR="000C5F8B">
        <w:t xml:space="preserve"> and regulations that may be applicable to the expenditure of Fiscal Recovery Funds:</w:t>
      </w:r>
    </w:p>
    <w:p w14:paraId="1920848D" w14:textId="77777777" w:rsidR="00FC7C3B" w:rsidRDefault="00FC7C3B" w:rsidP="00FC7C3B">
      <w:pPr>
        <w:pStyle w:val="ListParagraph"/>
        <w:ind w:left="900"/>
        <w:jc w:val="both"/>
      </w:pPr>
    </w:p>
    <w:p w14:paraId="535ABEFA" w14:textId="5B5D6259" w:rsidR="00E84053" w:rsidRDefault="00FC7C3B" w:rsidP="00E84053">
      <w:pPr>
        <w:pStyle w:val="ListParagraph"/>
        <w:numPr>
          <w:ilvl w:val="1"/>
          <w:numId w:val="2"/>
        </w:numPr>
        <w:jc w:val="both"/>
      </w:pPr>
      <w:r>
        <w:t xml:space="preserve">The Fair Housing Act, Title VIII of the Civil Rights Act of 1968 (42 U.S.C. §§ 3601 et seq.), which prohibits discrimination in housing on the basis of race, color, religion, national origin, sex, familial status, or </w:t>
      </w:r>
      <w:proofErr w:type="gramStart"/>
      <w:r>
        <w:t>disability;</w:t>
      </w:r>
      <w:proofErr w:type="gramEnd"/>
      <w:r>
        <w:t xml:space="preserve"> </w:t>
      </w:r>
    </w:p>
    <w:p w14:paraId="2892CEE5" w14:textId="77777777" w:rsidR="00E84053" w:rsidRDefault="00E84053" w:rsidP="00E84053">
      <w:pPr>
        <w:pStyle w:val="ListParagraph"/>
        <w:ind w:left="1260"/>
        <w:jc w:val="both"/>
      </w:pPr>
    </w:p>
    <w:p w14:paraId="354231BD" w14:textId="477B0005" w:rsidR="00E84053" w:rsidRDefault="00FC7C3B" w:rsidP="00E84053">
      <w:pPr>
        <w:pStyle w:val="ListParagraph"/>
        <w:numPr>
          <w:ilvl w:val="1"/>
          <w:numId w:val="2"/>
        </w:numPr>
        <w:jc w:val="both"/>
      </w:pPr>
      <w:r>
        <w:t xml:space="preserve">Section 504 of the Rehabilitation Act of 1973, as amended (29 U.S.C. § 794), which prohibits discrimination on the basis of disability under any program or activity receiving federal financial </w:t>
      </w:r>
      <w:proofErr w:type="gramStart"/>
      <w:r>
        <w:t>assistance;</w:t>
      </w:r>
      <w:proofErr w:type="gramEnd"/>
      <w:r>
        <w:t xml:space="preserve"> </w:t>
      </w:r>
    </w:p>
    <w:p w14:paraId="54BC89EB" w14:textId="77777777" w:rsidR="00E84053" w:rsidRDefault="00E84053" w:rsidP="00E84053">
      <w:pPr>
        <w:pStyle w:val="ListParagraph"/>
        <w:ind w:left="1260"/>
        <w:jc w:val="both"/>
      </w:pPr>
    </w:p>
    <w:p w14:paraId="305BD3B4" w14:textId="4DD55D02" w:rsidR="00E84053" w:rsidRDefault="00FC7C3B" w:rsidP="00E84053">
      <w:pPr>
        <w:pStyle w:val="ListParagraph"/>
        <w:numPr>
          <w:ilvl w:val="1"/>
          <w:numId w:val="2"/>
        </w:numPr>
        <w:jc w:val="both"/>
      </w:pPr>
      <w:r>
        <w:t xml:space="preserve">The Age Discrimination Act of 1975, as amended (42 U.S.C. §§ 6101 et seq.), and Treasury’s implementing regulations at 31 C.F.R. Part 23, which prohibit discrimination </w:t>
      </w:r>
      <w:proofErr w:type="gramStart"/>
      <w:r>
        <w:t>on the basis of</w:t>
      </w:r>
      <w:proofErr w:type="gramEnd"/>
      <w:r>
        <w:t xml:space="preserve"> age in programs or activities receiving federal financial assistance; and </w:t>
      </w:r>
    </w:p>
    <w:p w14:paraId="0D5DED8C" w14:textId="77777777" w:rsidR="00E84053" w:rsidRDefault="00E84053" w:rsidP="00E84053">
      <w:pPr>
        <w:pStyle w:val="ListParagraph"/>
        <w:ind w:left="1260"/>
        <w:jc w:val="both"/>
      </w:pPr>
    </w:p>
    <w:p w14:paraId="02077BC7" w14:textId="3B7C7330" w:rsidR="00FC7C3B" w:rsidRDefault="00FC7C3B" w:rsidP="00E84053">
      <w:pPr>
        <w:pStyle w:val="ListParagraph"/>
        <w:numPr>
          <w:ilvl w:val="1"/>
          <w:numId w:val="2"/>
        </w:numPr>
        <w:jc w:val="both"/>
      </w:pPr>
      <w:r>
        <w:t xml:space="preserve">Title II of the Americans with Disabilities Act of 1990, as amended (42 U.S.C. §§ 12101 et seq.), which prohibits discrimination </w:t>
      </w:r>
      <w:proofErr w:type="gramStart"/>
      <w:r>
        <w:t>on the basis of</w:t>
      </w:r>
      <w:proofErr w:type="gramEnd"/>
      <w:r>
        <w:t xml:space="preserve"> disability under programs, activities, and services provided or made available by state and local governments or instrumentalities or agencies thereto</w:t>
      </w:r>
    </w:p>
    <w:p w14:paraId="2D083860" w14:textId="77777777" w:rsidR="00030C52" w:rsidRDefault="00030C52" w:rsidP="00030C52">
      <w:pPr>
        <w:pStyle w:val="ListParagraph"/>
        <w:ind w:left="360"/>
        <w:jc w:val="both"/>
        <w:rPr>
          <w:b/>
          <w:bCs/>
          <w:i/>
          <w:iCs/>
          <w:u w:val="single"/>
        </w:rPr>
      </w:pPr>
    </w:p>
    <w:p w14:paraId="78571371" w14:textId="0908AE02" w:rsidR="003D6A83" w:rsidRDefault="005A008B" w:rsidP="003D6A83">
      <w:pPr>
        <w:pStyle w:val="ListParagraph"/>
        <w:numPr>
          <w:ilvl w:val="0"/>
          <w:numId w:val="2"/>
        </w:numPr>
        <w:jc w:val="both"/>
        <w:rPr>
          <w:b/>
          <w:bCs/>
          <w:i/>
          <w:iCs/>
          <w:u w:val="single"/>
        </w:rPr>
      </w:pPr>
      <w:r>
        <w:rPr>
          <w:b/>
          <w:bCs/>
          <w:i/>
          <w:iCs/>
          <w:u w:val="single"/>
        </w:rPr>
        <w:t>Miscellaneous</w:t>
      </w:r>
    </w:p>
    <w:p w14:paraId="239D957C" w14:textId="77777777" w:rsidR="003D6A83" w:rsidRDefault="003D6A83" w:rsidP="003D6A83">
      <w:pPr>
        <w:pStyle w:val="ListParagraph"/>
        <w:ind w:left="360"/>
        <w:jc w:val="both"/>
        <w:rPr>
          <w:b/>
          <w:bCs/>
          <w:u w:val="single"/>
        </w:rPr>
      </w:pPr>
    </w:p>
    <w:p w14:paraId="114C8A53" w14:textId="4AA97AC8" w:rsidR="00410834" w:rsidRDefault="000930AD" w:rsidP="001A73A8">
      <w:pPr>
        <w:pStyle w:val="ListParagraph"/>
        <w:numPr>
          <w:ilvl w:val="1"/>
          <w:numId w:val="2"/>
        </w:numPr>
        <w:jc w:val="both"/>
      </w:pPr>
      <w:r w:rsidRPr="00680954">
        <w:rPr>
          <w:b/>
          <w:bCs/>
          <w:i/>
          <w:iCs/>
          <w:u w:val="single"/>
        </w:rPr>
        <w:lastRenderedPageBreak/>
        <w:t>Increasing Seat Belt Use in the United States</w:t>
      </w:r>
      <w:r>
        <w:t>.  Pursuant to Executive Order 13043, 62 Fed. Reg. 19216 (</w:t>
      </w:r>
      <w:r w:rsidR="0075429F">
        <w:t>Apr</w:t>
      </w:r>
      <w:r>
        <w:t>. 18, 1997), Unit encourages Contractor to adopt and enforce on-the-job seat belt policies and programs for its employees when operating company-owned, rented or personally owned vehicles.</w:t>
      </w:r>
    </w:p>
    <w:p w14:paraId="13B65A30" w14:textId="77777777" w:rsidR="000930AD" w:rsidRDefault="000930AD" w:rsidP="00680954">
      <w:pPr>
        <w:pStyle w:val="ListParagraph"/>
        <w:ind w:left="360"/>
        <w:jc w:val="both"/>
      </w:pPr>
    </w:p>
    <w:p w14:paraId="412E74FF" w14:textId="678679E4" w:rsidR="000930AD" w:rsidRDefault="000930AD" w:rsidP="001A73A8">
      <w:pPr>
        <w:pStyle w:val="ListParagraph"/>
        <w:numPr>
          <w:ilvl w:val="1"/>
          <w:numId w:val="2"/>
        </w:numPr>
        <w:jc w:val="both"/>
      </w:pPr>
      <w:r w:rsidRPr="00680954">
        <w:rPr>
          <w:b/>
          <w:bCs/>
          <w:i/>
          <w:iCs/>
          <w:u w:val="single"/>
        </w:rPr>
        <w:t>Reducing Text Messaging While Driving</w:t>
      </w:r>
      <w:r>
        <w:rPr>
          <w:u w:val="single"/>
        </w:rPr>
        <w:t>.</w:t>
      </w:r>
      <w:r>
        <w:t xml:space="preserve">  Pursuant to Executive Order 13513, 74 Fed. Reg. 51225 (Oct. 6, 2009), Unit encourages Contractor to adopt and enforce policies that ban text messaging while driving.</w:t>
      </w:r>
    </w:p>
    <w:p w14:paraId="2CFF1F6F" w14:textId="77777777" w:rsidR="0065411E" w:rsidRDefault="0065411E" w:rsidP="0065411E">
      <w:pPr>
        <w:pStyle w:val="ListParagraph"/>
        <w:ind w:left="1260"/>
        <w:jc w:val="both"/>
      </w:pPr>
    </w:p>
    <w:p w14:paraId="1279F248" w14:textId="12C5641A" w:rsidR="0065411E" w:rsidRPr="006F753C" w:rsidRDefault="0065411E" w:rsidP="006F753C">
      <w:pPr>
        <w:pStyle w:val="ListParagraph"/>
        <w:numPr>
          <w:ilvl w:val="0"/>
          <w:numId w:val="2"/>
        </w:numPr>
        <w:jc w:val="both"/>
        <w:rPr>
          <w:i/>
          <w:iCs/>
          <w:u w:val="single"/>
        </w:rPr>
      </w:pPr>
      <w:r w:rsidRPr="00796B6E">
        <w:rPr>
          <w:b/>
          <w:bCs/>
          <w:i/>
          <w:iCs/>
          <w:u w:val="single"/>
        </w:rPr>
        <w:t>Conflicts</w:t>
      </w:r>
      <w:r w:rsidR="00E959A8" w:rsidRPr="00796B6E">
        <w:rPr>
          <w:b/>
          <w:bCs/>
          <w:i/>
          <w:iCs/>
          <w:u w:val="single"/>
        </w:rPr>
        <w:t xml:space="preserve"> and </w:t>
      </w:r>
      <w:r w:rsidR="00E959A8" w:rsidRPr="006A5A3E">
        <w:rPr>
          <w:b/>
          <w:bCs/>
          <w:i/>
          <w:iCs/>
          <w:u w:val="single"/>
        </w:rPr>
        <w:t>Interpretation</w:t>
      </w:r>
      <w:r w:rsidR="006A5A3E">
        <w:t xml:space="preserve">.  </w:t>
      </w:r>
      <w:r w:rsidRPr="006A5A3E">
        <w:t>To</w:t>
      </w:r>
      <w:r>
        <w:t xml:space="preserve"> the extent that any portion of this Addendum conflicts</w:t>
      </w:r>
      <w:r w:rsidR="00831063">
        <w:t xml:space="preserve"> wit</w:t>
      </w:r>
      <w:r w:rsidR="00CF5504">
        <w:t>h any term or condition of the Contract expressed outside of this Addendum</w:t>
      </w:r>
      <w:r>
        <w:t>, the terms of this Addendum shall govern.</w:t>
      </w:r>
    </w:p>
    <w:p w14:paraId="049872C6" w14:textId="5265A59D" w:rsidR="00F01AAB" w:rsidRDefault="00F01AAB" w:rsidP="00F01AAB">
      <w:pPr>
        <w:pStyle w:val="ListParagraph"/>
        <w:ind w:left="900"/>
        <w:jc w:val="both"/>
      </w:pPr>
    </w:p>
    <w:p w14:paraId="208F4C08" w14:textId="77777777" w:rsidR="0065411E" w:rsidRDefault="0065411E" w:rsidP="00F01AAB">
      <w:pPr>
        <w:pStyle w:val="ListParagraph"/>
        <w:ind w:left="900"/>
        <w:jc w:val="both"/>
      </w:pPr>
    </w:p>
    <w:p w14:paraId="73A7CFA4" w14:textId="77777777" w:rsidR="0015108D" w:rsidRDefault="002F6B80" w:rsidP="002F6B80">
      <w:pPr>
        <w:jc w:val="center"/>
        <w:sectPr w:rsidR="0015108D" w:rsidSect="00946F8A">
          <w:footerReference w:type="default" r:id="rId18"/>
          <w:footnotePr>
            <w:numRestart w:val="eachSect"/>
          </w:footnotePr>
          <w:pgSz w:w="12240" w:h="15840"/>
          <w:pgMar w:top="1440" w:right="1440" w:bottom="1440" w:left="1440" w:header="720" w:footer="720" w:gutter="0"/>
          <w:pgNumType w:start="1"/>
          <w:cols w:space="720"/>
          <w:docGrid w:linePitch="360"/>
        </w:sectPr>
      </w:pPr>
      <w:r>
        <w:t>[</w:t>
      </w:r>
      <w:r>
        <w:rPr>
          <w:i/>
          <w:iCs/>
        </w:rPr>
        <w:t>Remainder of Page Intentionally Left Blank</w:t>
      </w:r>
      <w:r>
        <w:t>]</w:t>
      </w:r>
    </w:p>
    <w:p w14:paraId="6EF9D112" w14:textId="3381B914" w:rsidR="002F6B80" w:rsidRPr="002F6B80" w:rsidRDefault="002F6B80" w:rsidP="002F6B80">
      <w:pPr>
        <w:jc w:val="center"/>
      </w:pPr>
    </w:p>
    <w:p w14:paraId="30346388" w14:textId="77777777" w:rsidR="0015108D" w:rsidRDefault="0015108D" w:rsidP="0015108D">
      <w:pPr>
        <w:overflowPunct w:val="0"/>
        <w:autoSpaceDE w:val="0"/>
        <w:autoSpaceDN w:val="0"/>
        <w:adjustRightInd w:val="0"/>
        <w:spacing w:after="0" w:line="240" w:lineRule="auto"/>
        <w:jc w:val="both"/>
        <w:rPr>
          <w:rFonts w:eastAsia="Times New Roman" w:cs="Times New Roman"/>
          <w:b/>
          <w:bCs/>
          <w:szCs w:val="20"/>
        </w:rPr>
      </w:pPr>
      <w:r>
        <w:rPr>
          <w:rFonts w:eastAsia="Times New Roman" w:cs="Times New Roman"/>
          <w:b/>
          <w:bCs/>
          <w:szCs w:val="20"/>
        </w:rPr>
        <w:t>CONTRACTOR:</w:t>
      </w:r>
    </w:p>
    <w:p w14:paraId="4800EE1C" w14:textId="77777777" w:rsid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4D375C96" w14:textId="7E97F16F" w:rsidR="0015108D" w:rsidRP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5FE7D1A3"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5B6250AD" w14:textId="424F605D"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By: _________________________________________</w:t>
      </w:r>
    </w:p>
    <w:p w14:paraId="7A70C574" w14:textId="7A30A3E4"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Name: _______________________________________</w:t>
      </w:r>
    </w:p>
    <w:p w14:paraId="324A4679" w14:textId="67210DC3"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Title:   _______________________________________</w:t>
      </w:r>
    </w:p>
    <w:p w14:paraId="3FE1C41A" w14:textId="667E5E68"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532CDD54"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7B33CF15"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0D9C443B" w14:textId="4DE7CAD6" w:rsidR="0015108D" w:rsidRDefault="0015108D" w:rsidP="0015108D">
      <w:pPr>
        <w:overflowPunct w:val="0"/>
        <w:autoSpaceDE w:val="0"/>
        <w:autoSpaceDN w:val="0"/>
        <w:adjustRightInd w:val="0"/>
        <w:spacing w:after="0" w:line="240" w:lineRule="auto"/>
        <w:ind w:right="576"/>
        <w:rPr>
          <w:rFonts w:eastAsia="Times New Roman" w:cs="Times New Roman"/>
          <w:b/>
          <w:bCs/>
          <w:szCs w:val="20"/>
        </w:rPr>
      </w:pPr>
      <w:r>
        <w:rPr>
          <w:rFonts w:eastAsia="Times New Roman" w:cs="Times New Roman"/>
          <w:b/>
          <w:bCs/>
          <w:szCs w:val="20"/>
        </w:rPr>
        <w:t>UNIT:</w:t>
      </w:r>
    </w:p>
    <w:p w14:paraId="505D5586" w14:textId="0037FB69" w:rsidR="0015108D" w:rsidRDefault="0015108D" w:rsidP="0015108D">
      <w:pPr>
        <w:overflowPunct w:val="0"/>
        <w:autoSpaceDE w:val="0"/>
        <w:autoSpaceDN w:val="0"/>
        <w:adjustRightInd w:val="0"/>
        <w:spacing w:after="0" w:line="240" w:lineRule="auto"/>
        <w:ind w:right="576"/>
        <w:rPr>
          <w:rFonts w:eastAsia="Times New Roman" w:cs="Times New Roman"/>
          <w:b/>
          <w:bCs/>
          <w:szCs w:val="20"/>
        </w:rPr>
      </w:pPr>
    </w:p>
    <w:p w14:paraId="0A16D015" w14:textId="77777777" w:rsidR="0015108D" w:rsidRPr="0015108D" w:rsidRDefault="0015108D" w:rsidP="0015108D">
      <w:pPr>
        <w:overflowPunct w:val="0"/>
        <w:autoSpaceDE w:val="0"/>
        <w:autoSpaceDN w:val="0"/>
        <w:adjustRightInd w:val="0"/>
        <w:spacing w:after="0" w:line="240" w:lineRule="auto"/>
        <w:ind w:right="576"/>
        <w:rPr>
          <w:rFonts w:eastAsia="Times New Roman" w:cs="Times New Roman"/>
          <w:b/>
          <w:bCs/>
          <w:szCs w:val="20"/>
        </w:rPr>
      </w:pPr>
    </w:p>
    <w:p w14:paraId="00F231B6" w14:textId="370C4ABB"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By: _________________________________________</w:t>
      </w:r>
    </w:p>
    <w:p w14:paraId="6669B655" w14:textId="6D9BA6CC"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Name: _______________________________________</w:t>
      </w:r>
    </w:p>
    <w:p w14:paraId="0084C2F6"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Title:   _______________________________________</w:t>
      </w:r>
    </w:p>
    <w:p w14:paraId="78459ECB" w14:textId="77777777" w:rsidR="0015108D" w:rsidRPr="0015108D" w:rsidRDefault="0015108D" w:rsidP="0015108D">
      <w:pPr>
        <w:overflowPunct w:val="0"/>
        <w:autoSpaceDE w:val="0"/>
        <w:autoSpaceDN w:val="0"/>
        <w:adjustRightInd w:val="0"/>
        <w:spacing w:after="0" w:line="240" w:lineRule="auto"/>
        <w:jc w:val="both"/>
        <w:rPr>
          <w:rFonts w:ascii="Garamond" w:eastAsia="Times New Roman" w:hAnsi="Garamond" w:cs="Times New Roman"/>
          <w:szCs w:val="20"/>
        </w:rPr>
      </w:pPr>
    </w:p>
    <w:p w14:paraId="1339ACCB" w14:textId="77777777" w:rsidR="0015108D" w:rsidRDefault="0015108D" w:rsidP="00B1476B"/>
    <w:p w14:paraId="63C2872A" w14:textId="77777777" w:rsidR="0015108D" w:rsidRDefault="0015108D" w:rsidP="00B1476B"/>
    <w:p w14:paraId="58999428" w14:textId="26A6B034" w:rsidR="0015108D" w:rsidRDefault="0015108D" w:rsidP="00B1476B">
      <w:pPr>
        <w:sectPr w:rsidR="0015108D" w:rsidSect="00946F8A">
          <w:headerReference w:type="default" r:id="rId19"/>
          <w:footerReference w:type="default" r:id="rId20"/>
          <w:pgSz w:w="12240" w:h="15840"/>
          <w:pgMar w:top="1440" w:right="1440" w:bottom="1440" w:left="1440" w:header="720" w:footer="720" w:gutter="0"/>
          <w:pgNumType w:start="1"/>
          <w:cols w:space="720"/>
          <w:docGrid w:linePitch="360"/>
        </w:sectPr>
      </w:pPr>
    </w:p>
    <w:p w14:paraId="292B1C8C" w14:textId="77777777" w:rsidR="00392F46" w:rsidRPr="00392F46" w:rsidRDefault="00B1476B" w:rsidP="00392F46">
      <w:pPr>
        <w:spacing w:after="0" w:line="240" w:lineRule="auto"/>
        <w:jc w:val="center"/>
        <w:rPr>
          <w:b/>
          <w:bCs/>
        </w:rPr>
      </w:pPr>
      <w:r w:rsidRPr="00392F46">
        <w:rPr>
          <w:b/>
          <w:bCs/>
        </w:rPr>
        <w:lastRenderedPageBreak/>
        <w:t>ATTAC</w:t>
      </w:r>
      <w:r w:rsidR="0067029F" w:rsidRPr="00392F46">
        <w:rPr>
          <w:b/>
          <w:bCs/>
        </w:rPr>
        <w:t>HMENT 1</w:t>
      </w:r>
      <w:r w:rsidR="00392F46" w:rsidRPr="00392F46">
        <w:rPr>
          <w:b/>
          <w:bCs/>
        </w:rPr>
        <w:t xml:space="preserve"> </w:t>
      </w:r>
    </w:p>
    <w:p w14:paraId="025E1385" w14:textId="77777777" w:rsidR="00392F46" w:rsidRPr="00392F46" w:rsidRDefault="00392F46" w:rsidP="00392F46">
      <w:pPr>
        <w:spacing w:after="0" w:line="240" w:lineRule="auto"/>
        <w:jc w:val="center"/>
        <w:rPr>
          <w:b/>
          <w:bCs/>
        </w:rPr>
      </w:pPr>
      <w:r w:rsidRPr="00392F46">
        <w:rPr>
          <w:b/>
          <w:bCs/>
        </w:rPr>
        <w:t xml:space="preserve">TO </w:t>
      </w:r>
    </w:p>
    <w:p w14:paraId="531E0FE8" w14:textId="4EE15096" w:rsidR="00392F46" w:rsidRDefault="00392F46" w:rsidP="00392F46">
      <w:pPr>
        <w:spacing w:after="0" w:line="240" w:lineRule="auto"/>
        <w:jc w:val="center"/>
        <w:rPr>
          <w:b/>
          <w:bCs/>
          <w:u w:val="single"/>
        </w:rPr>
      </w:pPr>
      <w:r>
        <w:rPr>
          <w:b/>
          <w:bCs/>
          <w:u w:val="single"/>
        </w:rPr>
        <w:t>CORONAVIRUS STATE AND LOCAL FISCAL RECOVERY FUNDS ADDENDUM</w:t>
      </w:r>
    </w:p>
    <w:p w14:paraId="34DD678E" w14:textId="77777777" w:rsidR="00392F46" w:rsidRPr="00922800" w:rsidRDefault="00392F46" w:rsidP="00392F46">
      <w:pPr>
        <w:spacing w:after="0" w:line="240" w:lineRule="auto"/>
        <w:jc w:val="center"/>
        <w:rPr>
          <w:b/>
          <w:bCs/>
          <w:u w:val="single"/>
        </w:rPr>
      </w:pPr>
    </w:p>
    <w:p w14:paraId="34EABBF3" w14:textId="35A3588D" w:rsidR="0067029F" w:rsidRPr="0067029F" w:rsidRDefault="0067029F" w:rsidP="0067029F">
      <w:pPr>
        <w:jc w:val="center"/>
        <w:rPr>
          <w:b/>
          <w:bCs/>
          <w:u w:val="single"/>
        </w:rPr>
      </w:pPr>
      <w:r>
        <w:rPr>
          <w:b/>
          <w:bCs/>
          <w:u w:val="single"/>
        </w:rPr>
        <w:t xml:space="preserve">APPENDIX A, </w:t>
      </w:r>
      <w:r w:rsidR="00C15121">
        <w:rPr>
          <w:b/>
          <w:bCs/>
          <w:u w:val="single"/>
        </w:rPr>
        <w:t>31</w:t>
      </w:r>
      <w:r>
        <w:rPr>
          <w:b/>
          <w:bCs/>
          <w:u w:val="single"/>
        </w:rPr>
        <w:t xml:space="preserve"> C.F.R. PART </w:t>
      </w:r>
      <w:r w:rsidR="00C15121">
        <w:rPr>
          <w:b/>
          <w:bCs/>
          <w:u w:val="single"/>
        </w:rPr>
        <w:t>21</w:t>
      </w:r>
      <w:r>
        <w:rPr>
          <w:b/>
          <w:bCs/>
          <w:u w:val="single"/>
        </w:rPr>
        <w:t xml:space="preserve"> – CERTIFICATION REGARDING LOBBYING</w:t>
      </w:r>
    </w:p>
    <w:p w14:paraId="4D8E1CC3" w14:textId="54B52B21" w:rsidR="00F43779" w:rsidRDefault="00F43779" w:rsidP="00452AE4">
      <w:r>
        <w:t xml:space="preserve">The undersigned certifies, to the best of </w:t>
      </w:r>
      <w:r w:rsidR="00D405C9">
        <w:t>the undersigned’s</w:t>
      </w:r>
      <w:r>
        <w:t xml:space="preserve"> knowledge and belief, that:</w:t>
      </w:r>
    </w:p>
    <w:p w14:paraId="64622971" w14:textId="4157DB85" w:rsidR="00F43779" w:rsidRDefault="00F43779" w:rsidP="00452AE4">
      <w:pPr>
        <w:pStyle w:val="ListParagraph"/>
        <w:numPr>
          <w:ilvl w:val="0"/>
          <w:numId w:val="4"/>
        </w:numPr>
        <w:jc w:val="both"/>
      </w:pPr>
      <w: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w:t>
      </w:r>
      <w:r w:rsidR="002749D0">
        <w:t>or</w:t>
      </w:r>
      <w:r>
        <w:t xml:space="preserve"> the extension, continuation, renewal, amendment, or modification of any Federal contract, grant, loan, or cooperative agreement.</w:t>
      </w:r>
    </w:p>
    <w:p w14:paraId="5929A98B" w14:textId="77777777" w:rsidR="00452AE4" w:rsidRDefault="00452AE4" w:rsidP="00452AE4">
      <w:pPr>
        <w:pStyle w:val="ListParagraph"/>
        <w:ind w:left="1080"/>
        <w:jc w:val="both"/>
      </w:pPr>
    </w:p>
    <w:p w14:paraId="0CC188C4" w14:textId="101C5471" w:rsidR="00F43779" w:rsidRDefault="00F43779" w:rsidP="00452AE4">
      <w:pPr>
        <w:pStyle w:val="ListParagraph"/>
        <w:numPr>
          <w:ilvl w:val="0"/>
          <w:numId w:val="4"/>
        </w:numPr>
        <w:jc w:val="both"/>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w:t>
      </w:r>
      <w:hyperlink r:id="rId21" w:history="1">
        <w:r w:rsidRPr="00A16194">
          <w:rPr>
            <w:rStyle w:val="Hyperlink"/>
          </w:rPr>
          <w:t xml:space="preserve">Standard Form-LLL, </w:t>
        </w:r>
        <w:r w:rsidR="00492A9B" w:rsidRPr="00A16194">
          <w:rPr>
            <w:rStyle w:val="Hyperlink"/>
          </w:rPr>
          <w:t>“</w:t>
        </w:r>
        <w:r w:rsidRPr="00A16194">
          <w:rPr>
            <w:rStyle w:val="Hyperlink"/>
          </w:rPr>
          <w:t>Disclosure Form to Report Lobbying,</w:t>
        </w:r>
        <w:r w:rsidR="00492A9B" w:rsidRPr="00A16194">
          <w:rPr>
            <w:rStyle w:val="Hyperlink"/>
          </w:rPr>
          <w:t>”</w:t>
        </w:r>
      </w:hyperlink>
      <w:r>
        <w:t xml:space="preserve"> in accordance with its instructions.</w:t>
      </w:r>
    </w:p>
    <w:p w14:paraId="500F22A3" w14:textId="77777777" w:rsidR="00452AE4" w:rsidRDefault="00452AE4" w:rsidP="00452AE4">
      <w:pPr>
        <w:pStyle w:val="ListParagraph"/>
        <w:ind w:left="1080"/>
        <w:jc w:val="both"/>
      </w:pPr>
    </w:p>
    <w:p w14:paraId="2F02E9E6" w14:textId="6FB0B715" w:rsidR="00B36914" w:rsidRDefault="00F43779" w:rsidP="00452AE4">
      <w:pPr>
        <w:pStyle w:val="ListParagraph"/>
        <w:numPr>
          <w:ilvl w:val="0"/>
          <w:numId w:val="4"/>
        </w:numPr>
        <w:jc w:val="both"/>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96C81BC" w14:textId="77777777" w:rsidR="00452AE4" w:rsidRDefault="00452AE4" w:rsidP="00452AE4">
      <w:pPr>
        <w:pStyle w:val="ListParagraph"/>
        <w:ind w:left="1080"/>
        <w:jc w:val="both"/>
      </w:pPr>
    </w:p>
    <w:p w14:paraId="139C2339" w14:textId="284795CD" w:rsidR="00F43779" w:rsidRDefault="00F43779" w:rsidP="00452AE4">
      <w:pPr>
        <w:pStyle w:val="ListParagraph"/>
        <w:numPr>
          <w:ilvl w:val="0"/>
          <w:numId w:val="4"/>
        </w:numPr>
        <w:jc w:val="both"/>
      </w:pPr>
      <w:r>
        <w:t xml:space="preserve">This certification is a material representation of fact upon which reliance was placed when this transaction was made or entered into. Submission of this certification is a prerequisite for making or </w:t>
      </w:r>
      <w:proofErr w:type="gramStart"/>
      <w:r>
        <w:t>entering into</w:t>
      </w:r>
      <w:proofErr w:type="gramEnd"/>
      <w:r>
        <w:t xml:space="preserve"> this transaction imposed by </w:t>
      </w:r>
      <w:r w:rsidR="004C1DEA">
        <w:t>Section</w:t>
      </w:r>
      <w:r>
        <w:t xml:space="preserve"> 1352, </w:t>
      </w:r>
      <w:r w:rsidR="004C1DEA">
        <w:t>T</w:t>
      </w:r>
      <w:r>
        <w:t>itle 31</w:t>
      </w:r>
      <w:r w:rsidR="004C1DEA">
        <w:t xml:space="preserve"> of the</w:t>
      </w:r>
      <w:r>
        <w:t xml:space="preserve"> U.S. Code. Any person who fails to file the required certification shall be subject to a civil penalty of not less than $10,000 and not more than $100,000 for each such failure.</w:t>
      </w:r>
    </w:p>
    <w:p w14:paraId="4100090D" w14:textId="031D18B3" w:rsidR="00392F46" w:rsidRDefault="00452AE4" w:rsidP="00393908">
      <w:pPr>
        <w:jc w:val="both"/>
      </w:pPr>
      <w:r>
        <w:t xml:space="preserve">The Contractor, ______________________, certifies </w:t>
      </w:r>
      <w:r w:rsidR="004C1DEA">
        <w:t>and</w:t>
      </w:r>
      <w:r>
        <w:t xml:space="preserve">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40595F40" w14:textId="77777777" w:rsidR="00393908" w:rsidRDefault="00393908" w:rsidP="00393908">
      <w:pPr>
        <w:spacing w:after="0" w:line="240" w:lineRule="auto"/>
      </w:pPr>
      <w:r>
        <w:t>__________________________________________</w:t>
      </w:r>
    </w:p>
    <w:p w14:paraId="00176306" w14:textId="309153C0" w:rsidR="00393908" w:rsidRPr="00393908" w:rsidRDefault="00393908" w:rsidP="00393908">
      <w:pPr>
        <w:spacing w:after="0" w:line="240" w:lineRule="auto"/>
      </w:pPr>
      <w:r>
        <w:t>Signature of Contractor</w:t>
      </w:r>
      <w:r w:rsidR="00492A9B">
        <w:t>’</w:t>
      </w:r>
      <w:r>
        <w:t>s Authorized Official</w:t>
      </w:r>
    </w:p>
    <w:p w14:paraId="5D138E4D" w14:textId="741D229F" w:rsidR="00393908" w:rsidRDefault="00393908" w:rsidP="00393908">
      <w:pPr>
        <w:spacing w:after="0" w:line="240" w:lineRule="auto"/>
      </w:pPr>
    </w:p>
    <w:p w14:paraId="1CC613F7" w14:textId="77777777" w:rsidR="00392F46" w:rsidRDefault="00392F46" w:rsidP="00393908">
      <w:pPr>
        <w:spacing w:after="0" w:line="240" w:lineRule="auto"/>
      </w:pPr>
    </w:p>
    <w:p w14:paraId="52471695" w14:textId="3A9B18F2" w:rsidR="00393908" w:rsidRDefault="00393908" w:rsidP="00393908">
      <w:pPr>
        <w:spacing w:after="0" w:line="240" w:lineRule="auto"/>
      </w:pPr>
      <w:r>
        <w:t>__________________________________________</w:t>
      </w:r>
    </w:p>
    <w:p w14:paraId="0C3A4094" w14:textId="7EA812C2" w:rsidR="00393908" w:rsidRPr="00393908" w:rsidRDefault="00393908" w:rsidP="00393908">
      <w:pPr>
        <w:spacing w:after="0" w:line="240" w:lineRule="auto"/>
      </w:pPr>
      <w:r>
        <w:t>Name and Title of Contractor</w:t>
      </w:r>
      <w:r w:rsidR="00492A9B">
        <w:t>’</w:t>
      </w:r>
      <w:r>
        <w:t>s Authorized Official</w:t>
      </w:r>
    </w:p>
    <w:p w14:paraId="078AEBE0" w14:textId="75F8BB47" w:rsidR="00393908" w:rsidRDefault="00393908" w:rsidP="00393908">
      <w:pPr>
        <w:spacing w:after="0" w:line="240" w:lineRule="auto"/>
      </w:pPr>
    </w:p>
    <w:p w14:paraId="623576BF" w14:textId="77777777" w:rsidR="00392F46" w:rsidRDefault="00392F46" w:rsidP="00393908">
      <w:pPr>
        <w:spacing w:after="0" w:line="240" w:lineRule="auto"/>
      </w:pPr>
    </w:p>
    <w:p w14:paraId="721437D8" w14:textId="77777777" w:rsidR="00393908" w:rsidRDefault="00393908" w:rsidP="00393908">
      <w:pPr>
        <w:spacing w:after="0" w:line="240" w:lineRule="auto"/>
      </w:pPr>
      <w:r>
        <w:t>__________________________________________</w:t>
      </w:r>
    </w:p>
    <w:p w14:paraId="39D6D7D4" w14:textId="2750318D" w:rsidR="00DC1665" w:rsidRDefault="00393908" w:rsidP="00EA2371">
      <w:pPr>
        <w:spacing w:after="0" w:line="240" w:lineRule="auto"/>
      </w:pPr>
      <w:r>
        <w:t>Date</w:t>
      </w:r>
    </w:p>
    <w:sectPr w:rsidR="00DC166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0671" w14:textId="77777777" w:rsidR="00FD67B8" w:rsidRDefault="00FD67B8" w:rsidP="00C95EF7">
      <w:pPr>
        <w:spacing w:after="0" w:line="240" w:lineRule="auto"/>
      </w:pPr>
      <w:r>
        <w:separator/>
      </w:r>
    </w:p>
  </w:endnote>
  <w:endnote w:type="continuationSeparator" w:id="0">
    <w:p w14:paraId="13BAE990" w14:textId="77777777" w:rsidR="00FD67B8" w:rsidRDefault="00FD67B8" w:rsidP="00C95EF7">
      <w:pPr>
        <w:spacing w:after="0" w:line="240" w:lineRule="auto"/>
      </w:pPr>
      <w:r>
        <w:continuationSeparator/>
      </w:r>
    </w:p>
  </w:endnote>
  <w:endnote w:type="continuationNotice" w:id="1">
    <w:p w14:paraId="5F73389D" w14:textId="77777777" w:rsidR="00FD67B8" w:rsidRDefault="00FD6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043932"/>
      <w:docPartObj>
        <w:docPartGallery w:val="Page Numbers (Bottom of Page)"/>
        <w:docPartUnique/>
      </w:docPartObj>
    </w:sdtPr>
    <w:sdtEndPr>
      <w:rPr>
        <w:noProof/>
      </w:rPr>
    </w:sdtEndPr>
    <w:sdtContent>
      <w:p w14:paraId="7B7AF8DA" w14:textId="038C8D68" w:rsidR="000173BA" w:rsidRDefault="00017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59764" w14:textId="77777777" w:rsidR="00946F8A" w:rsidRDefault="00946F8A" w:rsidP="00946F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BCBD" w14:textId="3B9D5FF8" w:rsidR="00946F8A" w:rsidRDefault="00946F8A">
    <w:pPr>
      <w:pStyle w:val="Footer"/>
      <w:jc w:val="center"/>
    </w:pPr>
  </w:p>
  <w:p w14:paraId="01AA4A1F" w14:textId="77777777" w:rsidR="00946F8A" w:rsidRDefault="00946F8A" w:rsidP="00946F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177024"/>
      <w:docPartObj>
        <w:docPartGallery w:val="Page Numbers (Bottom of Page)"/>
        <w:docPartUnique/>
      </w:docPartObj>
    </w:sdtPr>
    <w:sdtEndPr>
      <w:rPr>
        <w:noProof/>
      </w:rPr>
    </w:sdtEndPr>
    <w:sdtContent>
      <w:p w14:paraId="72B8D3C1" w14:textId="23607D48" w:rsidR="00913DBD" w:rsidRDefault="0091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D834A" w14:textId="77777777" w:rsidR="00913DBD" w:rsidRDefault="00913DBD" w:rsidP="00946F8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3897"/>
      <w:docPartObj>
        <w:docPartGallery w:val="Page Numbers (Bottom of Page)"/>
        <w:docPartUnique/>
      </w:docPartObj>
    </w:sdtPr>
    <w:sdtEndPr>
      <w:rPr>
        <w:noProof/>
      </w:rPr>
    </w:sdtEndPr>
    <w:sdtContent>
      <w:p w14:paraId="58E6307A" w14:textId="57D494F0" w:rsidR="0015108D" w:rsidRDefault="0015108D">
        <w:pPr>
          <w:pStyle w:val="Footer"/>
          <w:jc w:val="center"/>
        </w:pPr>
        <w:r>
          <w:t>[</w:t>
        </w:r>
        <w:r w:rsidRPr="0015108D">
          <w:rPr>
            <w:i/>
            <w:iCs/>
          </w:rPr>
          <w:t>Signature Page to Coronavirus State and Local Fiscal Recovery Funds Addendum</w:t>
        </w:r>
        <w:r>
          <w:t>]</w:t>
        </w:r>
      </w:p>
    </w:sdtContent>
  </w:sdt>
  <w:p w14:paraId="11DEA040" w14:textId="77777777" w:rsidR="0015108D" w:rsidRDefault="0015108D" w:rsidP="00946F8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35D" w14:textId="2B8AA768" w:rsidR="00E02601" w:rsidRDefault="00E02601" w:rsidP="00C8408D">
    <w:pPr>
      <w:pStyle w:val="Footer"/>
    </w:pPr>
  </w:p>
  <w:p w14:paraId="6C0A4378" w14:textId="77777777" w:rsidR="00E02601" w:rsidRDefault="00E02601" w:rsidP="00946F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B94E" w14:textId="77777777" w:rsidR="00FD67B8" w:rsidRDefault="00FD67B8" w:rsidP="00C95EF7">
      <w:pPr>
        <w:spacing w:after="0" w:line="240" w:lineRule="auto"/>
      </w:pPr>
      <w:r>
        <w:separator/>
      </w:r>
    </w:p>
  </w:footnote>
  <w:footnote w:type="continuationSeparator" w:id="0">
    <w:p w14:paraId="1CD2557B" w14:textId="77777777" w:rsidR="00FD67B8" w:rsidRDefault="00FD67B8" w:rsidP="00C95EF7">
      <w:pPr>
        <w:spacing w:after="0" w:line="240" w:lineRule="auto"/>
      </w:pPr>
      <w:r>
        <w:continuationSeparator/>
      </w:r>
    </w:p>
  </w:footnote>
  <w:footnote w:type="continuationNotice" w:id="1">
    <w:p w14:paraId="697F2BA0" w14:textId="77777777" w:rsidR="00FD67B8" w:rsidRDefault="00FD67B8">
      <w:pPr>
        <w:spacing w:after="0" w:line="240" w:lineRule="auto"/>
      </w:pPr>
    </w:p>
  </w:footnote>
  <w:footnote w:id="2">
    <w:p w14:paraId="5173E915" w14:textId="5138137B" w:rsidR="008F09F1" w:rsidRPr="00424791" w:rsidRDefault="008F09F1" w:rsidP="0087745C">
      <w:pPr>
        <w:pStyle w:val="FootnoteText"/>
        <w:jc w:val="both"/>
      </w:pPr>
      <w:r w:rsidRPr="00424791">
        <w:rPr>
          <w:rStyle w:val="FootnoteReference"/>
        </w:rPr>
        <w:footnoteRef/>
      </w:r>
      <w:r w:rsidRPr="00424791">
        <w:t xml:space="preserve"> </w:t>
      </w:r>
      <w:r w:rsidR="001E06EE" w:rsidRPr="00424791">
        <w:rPr>
          <w:i/>
          <w:iCs/>
        </w:rPr>
        <w:t>See</w:t>
      </w:r>
      <w:r w:rsidR="001E06EE" w:rsidRPr="00424791">
        <w:t xml:space="preserve"> </w:t>
      </w:r>
      <w:hyperlink r:id="rId1" w:history="1">
        <w:r w:rsidR="00AC21E0" w:rsidRPr="00424791">
          <w:rPr>
            <w:rStyle w:val="Hyperlink"/>
            <w:color w:val="auto"/>
          </w:rPr>
          <w:t xml:space="preserve">Coronavirus State and Local Fiscal Recovery Funds, </w:t>
        </w:r>
        <w:r w:rsidR="00485018" w:rsidRPr="00424791">
          <w:rPr>
            <w:rStyle w:val="Hyperlink"/>
            <w:color w:val="auto"/>
          </w:rPr>
          <w:t>86 Fed. Reg. 26</w:t>
        </w:r>
        <w:r w:rsidR="005478FF" w:rsidRPr="00424791">
          <w:rPr>
            <w:rStyle w:val="Hyperlink"/>
            <w:color w:val="auto"/>
          </w:rPr>
          <w:t>,</w:t>
        </w:r>
        <w:r w:rsidR="00485018" w:rsidRPr="00424791">
          <w:rPr>
            <w:rStyle w:val="Hyperlink"/>
            <w:color w:val="auto"/>
          </w:rPr>
          <w:t>786</w:t>
        </w:r>
        <w:r w:rsidR="00776E22" w:rsidRPr="00424791">
          <w:rPr>
            <w:rStyle w:val="Hyperlink"/>
            <w:color w:val="auto"/>
          </w:rPr>
          <w:t>, 26,811</w:t>
        </w:r>
        <w:r w:rsidR="00485018" w:rsidRPr="00424791">
          <w:rPr>
            <w:rStyle w:val="Hyperlink"/>
            <w:color w:val="auto"/>
          </w:rPr>
          <w:t xml:space="preserve"> (May 17, 2021)</w:t>
        </w:r>
      </w:hyperlink>
      <w:r w:rsidR="00D836C1" w:rsidRPr="00F448A9">
        <w:rPr>
          <w:rStyle w:val="Hyperlink"/>
          <w:color w:val="auto"/>
          <w:u w:val="none"/>
        </w:rPr>
        <w:t xml:space="preserve"> (hereinafter </w:t>
      </w:r>
      <w:r w:rsidR="00F448A9">
        <w:rPr>
          <w:rStyle w:val="Hyperlink"/>
          <w:color w:val="auto"/>
          <w:u w:val="none"/>
        </w:rPr>
        <w:t xml:space="preserve">Interim </w:t>
      </w:r>
      <w:r w:rsidR="00D836C1" w:rsidRPr="00F448A9">
        <w:rPr>
          <w:rStyle w:val="Hyperlink"/>
          <w:color w:val="auto"/>
          <w:u w:val="none"/>
        </w:rPr>
        <w:t>Final Rule)</w:t>
      </w:r>
      <w:r w:rsidR="005D2E34" w:rsidRPr="00424791">
        <w:t xml:space="preserve"> (“As provided for in the award terms, payments from the Fiscal Recovery Funds as a general matter will be subject to the provisions of the Uniform administrative Requirements, Cost Principles, and Audit Requirements for Federal Awards (2 CFR Part 200) (the Uniform Guidance)</w:t>
      </w:r>
      <w:r w:rsidR="00776E22" w:rsidRPr="00424791">
        <w:t>[.]”)</w:t>
      </w:r>
      <w:r w:rsidR="00485018" w:rsidRPr="00424791">
        <w:t>;</w:t>
      </w:r>
      <w:r w:rsidR="00ED2220" w:rsidRPr="00424791">
        <w:t xml:space="preserve"> </w:t>
      </w:r>
      <w:hyperlink r:id="rId2" w:history="1">
        <w:r w:rsidR="00ED2220" w:rsidRPr="00424791">
          <w:rPr>
            <w:rStyle w:val="Hyperlink"/>
            <w:color w:val="auto"/>
          </w:rPr>
          <w:t xml:space="preserve">Coronavirus State and Local Fiscal Recovery Funds, </w:t>
        </w:r>
        <w:r w:rsidR="00690501" w:rsidRPr="00424791">
          <w:rPr>
            <w:rStyle w:val="Hyperlink"/>
            <w:color w:val="auto"/>
          </w:rPr>
          <w:t>87 Fed. Reg. 4,338</w:t>
        </w:r>
        <w:r w:rsidR="00A53710" w:rsidRPr="00424791">
          <w:rPr>
            <w:rStyle w:val="Hyperlink"/>
            <w:color w:val="auto"/>
          </w:rPr>
          <w:t>, 4,</w:t>
        </w:r>
        <w:r w:rsidR="00883DE3" w:rsidRPr="00424791">
          <w:rPr>
            <w:rStyle w:val="Hyperlink"/>
            <w:color w:val="auto"/>
          </w:rPr>
          <w:t>3</w:t>
        </w:r>
        <w:r w:rsidR="006F0442" w:rsidRPr="00424791">
          <w:rPr>
            <w:rStyle w:val="Hyperlink"/>
            <w:color w:val="auto"/>
          </w:rPr>
          <w:t>75</w:t>
        </w:r>
        <w:r w:rsidR="00690501" w:rsidRPr="00424791">
          <w:rPr>
            <w:rStyle w:val="Hyperlink"/>
            <w:color w:val="auto"/>
          </w:rPr>
          <w:t xml:space="preserve"> (Jan. 27, 2022)</w:t>
        </w:r>
      </w:hyperlink>
      <w:r w:rsidR="00F448A9">
        <w:rPr>
          <w:rStyle w:val="Hyperlink"/>
          <w:color w:val="auto"/>
        </w:rPr>
        <w:t xml:space="preserve"> (hereinafter Final Rule)</w:t>
      </w:r>
      <w:r w:rsidR="00A53710" w:rsidRPr="00424791">
        <w:t xml:space="preserve"> (“</w:t>
      </w:r>
      <w:r w:rsidR="006F0442" w:rsidRPr="00424791">
        <w:t xml:space="preserve">Recipients must comply with the applicable requirements of the Uniform Guidance regarding procurement, </w:t>
      </w:r>
      <w:r w:rsidR="00B3560F" w:rsidRPr="00424791">
        <w:t>contract</w:t>
      </w:r>
      <w:r w:rsidR="006F0442" w:rsidRPr="00424791">
        <w:t>, and conflicts of interest and must follow the applicable laws and regulations in their jurisdictions.”);</w:t>
      </w:r>
      <w:r w:rsidR="00883DE3" w:rsidRPr="00424791">
        <w:t xml:space="preserve"> </w:t>
      </w:r>
      <w:hyperlink r:id="rId3" w:history="1">
        <w:r w:rsidR="00B03789" w:rsidRPr="00424791">
          <w:rPr>
            <w:rStyle w:val="Hyperlink"/>
            <w:color w:val="auto"/>
          </w:rPr>
          <w:t xml:space="preserve">U.S. Department of the Treasury, </w:t>
        </w:r>
        <w:r w:rsidR="001E06EE" w:rsidRPr="00424791">
          <w:rPr>
            <w:rStyle w:val="Hyperlink"/>
            <w:color w:val="auto"/>
          </w:rPr>
          <w:t>Compliance and Reporting Guidance</w:t>
        </w:r>
        <w:r w:rsidR="00B03789" w:rsidRPr="00424791">
          <w:rPr>
            <w:rStyle w:val="Hyperlink"/>
            <w:color w:val="auto"/>
          </w:rPr>
          <w:t>: State and Local Fiscal Recovery Funds, Version 2.1</w:t>
        </w:r>
        <w:r w:rsidR="00010CE3" w:rsidRPr="00424791">
          <w:rPr>
            <w:rStyle w:val="Hyperlink"/>
            <w:color w:val="auto"/>
          </w:rPr>
          <w:t xml:space="preserve"> 8</w:t>
        </w:r>
        <w:r w:rsidR="00B03789" w:rsidRPr="00424791">
          <w:rPr>
            <w:rStyle w:val="Hyperlink"/>
            <w:color w:val="auto"/>
          </w:rPr>
          <w:t xml:space="preserve"> (Nov. 15, 2021)</w:t>
        </w:r>
      </w:hyperlink>
      <w:r w:rsidR="00F448A9">
        <w:rPr>
          <w:rStyle w:val="Hyperlink"/>
          <w:color w:val="auto"/>
        </w:rPr>
        <w:t xml:space="preserve"> (hereinafter Compliance and Reporting Guidance)</w:t>
      </w:r>
      <w:r w:rsidR="00010CE3" w:rsidRPr="00424791">
        <w:t xml:space="preserve"> (“Recipients are responsible for ensuring that any procurement using SLFRF funds, or payments under procurement contracts using such funds </w:t>
      </w:r>
      <w:r w:rsidR="00E566F3" w:rsidRPr="00424791">
        <w:t xml:space="preserve">are consistent with the procurement standards set forth in the Uniform Guidance at 2 CFR 200.317 through 2 CFR 200.327, as applicable.”).  </w:t>
      </w:r>
    </w:p>
  </w:footnote>
  <w:footnote w:id="3">
    <w:p w14:paraId="57DAD2E4" w14:textId="761D869D" w:rsidR="001E06EE" w:rsidRPr="00424791" w:rsidRDefault="001E06EE" w:rsidP="0087745C">
      <w:pPr>
        <w:pStyle w:val="FootnoteText"/>
        <w:jc w:val="both"/>
      </w:pPr>
      <w:r w:rsidRPr="00424791">
        <w:rPr>
          <w:rStyle w:val="FootnoteReference"/>
        </w:rPr>
        <w:footnoteRef/>
      </w:r>
      <w:r w:rsidRPr="00424791">
        <w:t xml:space="preserve"> </w:t>
      </w:r>
      <w:r w:rsidRPr="00424791">
        <w:rPr>
          <w:i/>
          <w:iCs/>
        </w:rPr>
        <w:t xml:space="preserve">See </w:t>
      </w:r>
      <w:hyperlink r:id="rId4" w:history="1">
        <w:r w:rsidRPr="00424791">
          <w:rPr>
            <w:rStyle w:val="Hyperlink"/>
            <w:color w:val="auto"/>
          </w:rPr>
          <w:t>2 C.F.R. § 200.327</w:t>
        </w:r>
      </w:hyperlink>
      <w:r w:rsidR="004C1F23" w:rsidRPr="00424791">
        <w:t xml:space="preserve"> (“The non-Federal entity’s contracts must contain the applicable provisions described in appendix II to this part.”)</w:t>
      </w:r>
      <w:r w:rsidRPr="00424791">
        <w:t xml:space="preserve">; </w:t>
      </w:r>
      <w:hyperlink r:id="rId5" w:history="1">
        <w:r w:rsidR="00CF6420" w:rsidRPr="00424791">
          <w:rPr>
            <w:rStyle w:val="Hyperlink"/>
            <w:color w:val="auto"/>
          </w:rPr>
          <w:t xml:space="preserve">Appendix II to </w:t>
        </w:r>
        <w:r w:rsidRPr="00424791">
          <w:rPr>
            <w:rStyle w:val="Hyperlink"/>
            <w:color w:val="auto"/>
          </w:rPr>
          <w:t>2 C.F.R. Part 200</w:t>
        </w:r>
      </w:hyperlink>
      <w:r w:rsidRPr="00424791">
        <w:t>.</w:t>
      </w:r>
    </w:p>
  </w:footnote>
  <w:footnote w:id="4">
    <w:p w14:paraId="3D7F7445" w14:textId="56DF34CB" w:rsidR="00A8017C" w:rsidRPr="00424791" w:rsidRDefault="00A8017C" w:rsidP="0087745C">
      <w:pPr>
        <w:pStyle w:val="FootnoteText"/>
        <w:jc w:val="both"/>
      </w:pPr>
      <w:r w:rsidRPr="00424791">
        <w:rPr>
          <w:rStyle w:val="FootnoteReference"/>
        </w:rPr>
        <w:footnoteRef/>
      </w:r>
      <w:r w:rsidRPr="00424791">
        <w:t xml:space="preserve"> </w:t>
      </w:r>
      <w:hyperlink r:id="rId6" w:history="1">
        <w:r w:rsidRPr="002164BC">
          <w:rPr>
            <w:rStyle w:val="Hyperlink"/>
          </w:rPr>
          <w:t>Local Fiscal Recovery Fund Award Terms and Conditions</w:t>
        </w:r>
      </w:hyperlink>
      <w:r w:rsidR="002164BC">
        <w:t>, § 8</w:t>
      </w:r>
      <w:r w:rsidR="00D904B9">
        <w:t xml:space="preserve"> (hereinafter Local FRF Award Terms)</w:t>
      </w:r>
      <w:r w:rsidRPr="00424791">
        <w:t xml:space="preserve">; </w:t>
      </w:r>
      <w:hyperlink r:id="rId7" w:history="1">
        <w:r w:rsidRPr="00F9006B">
          <w:rPr>
            <w:rStyle w:val="Hyperlink"/>
          </w:rPr>
          <w:t>State Fiscal Recovery Fund Award Terms and Conditions</w:t>
        </w:r>
      </w:hyperlink>
      <w:r w:rsidR="00F9006B">
        <w:t>, § 8.</w:t>
      </w:r>
    </w:p>
  </w:footnote>
  <w:footnote w:id="5">
    <w:p w14:paraId="45A7E6F6" w14:textId="53A2E6E3" w:rsidR="00BD0641" w:rsidRPr="00424791" w:rsidRDefault="00BD0641" w:rsidP="0087745C">
      <w:pPr>
        <w:pStyle w:val="FootnoteText"/>
        <w:jc w:val="both"/>
      </w:pPr>
      <w:r w:rsidRPr="00424791">
        <w:rPr>
          <w:rStyle w:val="FootnoteReference"/>
        </w:rPr>
        <w:footnoteRef/>
      </w:r>
      <w:r w:rsidRPr="00424791">
        <w:t xml:space="preserve"> As used </w:t>
      </w:r>
      <w:r w:rsidR="00BF4D48" w:rsidRPr="00424791">
        <w:t>here</w:t>
      </w:r>
      <w:r w:rsidRPr="00424791">
        <w:t>, the term “contractor” means an entity that receives</w:t>
      </w:r>
      <w:r w:rsidR="00BF4D48" w:rsidRPr="00424791">
        <w:t xml:space="preserve"> a </w:t>
      </w:r>
      <w:r w:rsidR="008F4571" w:rsidRPr="00424791">
        <w:t>“</w:t>
      </w:r>
      <w:r w:rsidR="00BF4D48" w:rsidRPr="00424791">
        <w:t>contract.</w:t>
      </w:r>
      <w:r w:rsidR="008F4571" w:rsidRPr="00424791">
        <w:t>”</w:t>
      </w:r>
      <w:r w:rsidR="00BF4D48" w:rsidRPr="00424791">
        <w:t xml:space="preserve">  </w:t>
      </w:r>
      <w:r w:rsidR="00BF4D48" w:rsidRPr="00424791">
        <w:rPr>
          <w:i/>
          <w:iCs/>
        </w:rPr>
        <w:t>See</w:t>
      </w:r>
      <w:r w:rsidR="00BF4D48" w:rsidRPr="00424791">
        <w:t xml:space="preserve"> </w:t>
      </w:r>
      <w:hyperlink r:id="rId8" w:history="1">
        <w:r w:rsidR="00BF4D48" w:rsidRPr="00424791">
          <w:rPr>
            <w:rStyle w:val="Hyperlink"/>
            <w:color w:val="auto"/>
          </w:rPr>
          <w:t>2 C.F.R. § 200.1</w:t>
        </w:r>
      </w:hyperlink>
      <w:r w:rsidR="00BF4D48" w:rsidRPr="00424791">
        <w:t xml:space="preserve"> (</w:t>
      </w:r>
      <w:r w:rsidR="008F4571" w:rsidRPr="00424791">
        <w:t xml:space="preserve">defining “contractor” as “an entity that receives a contract as defined in this section”); </w:t>
      </w:r>
      <w:r w:rsidR="008F4571" w:rsidRPr="00424791">
        <w:rPr>
          <w:i/>
          <w:iCs/>
        </w:rPr>
        <w:t>id.</w:t>
      </w:r>
      <w:r w:rsidR="008F4571" w:rsidRPr="00424791">
        <w:t xml:space="preserve"> (defining “contract”</w:t>
      </w:r>
      <w:r w:rsidR="00AF5193" w:rsidRPr="00424791">
        <w:t xml:space="preserve"> as “a legal instrument by which a recipient or subrecipient purchases property or services needed to carry out the program or project under a </w:t>
      </w:r>
      <w:proofErr w:type="gramStart"/>
      <w:r w:rsidR="00AF5193" w:rsidRPr="00424791">
        <w:t>Federal</w:t>
      </w:r>
      <w:proofErr w:type="gramEnd"/>
      <w:r w:rsidR="00AF5193" w:rsidRPr="00424791">
        <w:t xml:space="preserve"> award.”).</w:t>
      </w:r>
    </w:p>
  </w:footnote>
  <w:footnote w:id="6">
    <w:p w14:paraId="1E00ED8A" w14:textId="700644C6" w:rsidR="006A5005" w:rsidRPr="00424791" w:rsidRDefault="006A5005" w:rsidP="0087745C">
      <w:pPr>
        <w:pStyle w:val="FootnoteText"/>
        <w:jc w:val="both"/>
      </w:pPr>
      <w:r w:rsidRPr="00424791">
        <w:rPr>
          <w:rStyle w:val="FootnoteReference"/>
        </w:rPr>
        <w:footnoteRef/>
      </w:r>
      <w:r w:rsidRPr="00424791">
        <w:t xml:space="preserve"> </w:t>
      </w:r>
      <w:r w:rsidRPr="00424791">
        <w:rPr>
          <w:i/>
          <w:iCs/>
        </w:rPr>
        <w:t>See generally</w:t>
      </w:r>
      <w:r w:rsidRPr="00424791">
        <w:t xml:space="preserve"> </w:t>
      </w:r>
      <w:hyperlink r:id="rId9" w:history="1">
        <w:r w:rsidRPr="00424791">
          <w:rPr>
            <w:rStyle w:val="Hyperlink"/>
            <w:i/>
            <w:iCs/>
            <w:color w:val="auto"/>
          </w:rPr>
          <w:t>Kara Millonzi, American Rescue Plan Act of 2021: Local Government Authority to Expend Their Allocations</w:t>
        </w:r>
        <w:r w:rsidR="005A3955" w:rsidRPr="00424791">
          <w:rPr>
            <w:rStyle w:val="Hyperlink"/>
            <w:color w:val="auto"/>
          </w:rPr>
          <w:t>, Coates’ Canons</w:t>
        </w:r>
        <w:r w:rsidR="004A41CF">
          <w:rPr>
            <w:rStyle w:val="Hyperlink"/>
            <w:color w:val="auto"/>
          </w:rPr>
          <w:t>:</w:t>
        </w:r>
        <w:r w:rsidR="000829DB" w:rsidRPr="00424791">
          <w:rPr>
            <w:rStyle w:val="Hyperlink"/>
            <w:color w:val="auto"/>
          </w:rPr>
          <w:t xml:space="preserve"> NC Local Gov’t Law</w:t>
        </w:r>
        <w:r w:rsidRPr="00424791">
          <w:rPr>
            <w:rStyle w:val="Hyperlink"/>
            <w:color w:val="auto"/>
          </w:rPr>
          <w:t xml:space="preserve"> (Apr. 5, 2021)</w:t>
        </w:r>
      </w:hyperlink>
      <w:r w:rsidRPr="00424791">
        <w:t xml:space="preserve">.  </w:t>
      </w:r>
    </w:p>
  </w:footnote>
  <w:footnote w:id="7">
    <w:p w14:paraId="2ADD42BC" w14:textId="547884F0" w:rsidR="008336FE" w:rsidRPr="00424791" w:rsidRDefault="008336FE" w:rsidP="0087745C">
      <w:pPr>
        <w:pStyle w:val="FootnoteText"/>
        <w:jc w:val="both"/>
      </w:pPr>
      <w:r w:rsidRPr="00424791">
        <w:rPr>
          <w:rStyle w:val="FootnoteReference"/>
        </w:rPr>
        <w:footnoteRef/>
      </w:r>
      <w:r w:rsidRPr="00424791">
        <w:t xml:space="preserve">When a recipient or subrecipient makes a disbursement of Federal award monies subject to the provisions of the Uniform Guidance, it must determine on a case-by-case basis whether the transferee of those funds is a “contractor” or a “subrecipient”.  </w:t>
      </w:r>
      <w:r w:rsidRPr="00424791">
        <w:rPr>
          <w:i/>
          <w:iCs/>
        </w:rPr>
        <w:t xml:space="preserve">See </w:t>
      </w:r>
      <w:hyperlink r:id="rId10" w:history="1">
        <w:r w:rsidRPr="00424791">
          <w:rPr>
            <w:rStyle w:val="Hyperlink"/>
            <w:color w:val="auto"/>
          </w:rPr>
          <w:t>2 C.F.R. § 200.331</w:t>
        </w:r>
      </w:hyperlink>
      <w:r w:rsidRPr="00424791">
        <w:t xml:space="preserve">.  One commentator has explained this determination process as examining “how benefit flows.”  Robert M. Lloyd, A Practical Guide to Federal Grants Management – From Solicitation to Audit </w:t>
      </w:r>
      <w:r w:rsidR="0078322F" w:rsidRPr="00424791">
        <w:t xml:space="preserve">246 </w:t>
      </w:r>
      <w:r w:rsidRPr="00424791">
        <w:t xml:space="preserve">(3d ed. 2020).  In a “contract” relationship, </w:t>
      </w:r>
      <w:r w:rsidR="00C64C4F" w:rsidRPr="00424791">
        <w:t>the benefit of federal grant funds flows “up”—</w:t>
      </w:r>
      <w:r w:rsidRPr="00424791">
        <w:t>a non-Federal entity purchase</w:t>
      </w:r>
      <w:r w:rsidR="0078322F" w:rsidRPr="00424791">
        <w:t>s</w:t>
      </w:r>
      <w:r w:rsidRPr="00424791">
        <w:t xml:space="preserve"> goods or services for its </w:t>
      </w:r>
      <w:r w:rsidRPr="00424791">
        <w:rPr>
          <w:i/>
          <w:iCs/>
        </w:rPr>
        <w:t xml:space="preserve">own </w:t>
      </w:r>
      <w:r w:rsidRPr="00424791">
        <w:t>use to carry out the purposes of the Federal award.  In a “</w:t>
      </w:r>
      <w:r w:rsidR="005E3132" w:rsidRPr="00424791">
        <w:t>subaward</w:t>
      </w:r>
      <w:r w:rsidR="00F71F1C" w:rsidRPr="00424791">
        <w:t xml:space="preserve">” </w:t>
      </w:r>
      <w:r w:rsidR="005E3132" w:rsidRPr="00424791">
        <w:t xml:space="preserve">relationship, </w:t>
      </w:r>
      <w:r w:rsidR="00C64C4F" w:rsidRPr="00424791">
        <w:t>the benefit of federal grant funds flows “down”—</w:t>
      </w:r>
      <w:r w:rsidR="005E3132" w:rsidRPr="00424791">
        <w:t xml:space="preserve">a non-Federal entity acts </w:t>
      </w:r>
      <w:r w:rsidR="00C64C4F" w:rsidRPr="00424791">
        <w:t xml:space="preserve">much like a </w:t>
      </w:r>
      <w:proofErr w:type="gramStart"/>
      <w:r w:rsidR="00C64C4F" w:rsidRPr="00424791">
        <w:t>Federal</w:t>
      </w:r>
      <w:proofErr w:type="gramEnd"/>
      <w:r w:rsidR="00C64C4F" w:rsidRPr="00424791">
        <w:t xml:space="preserve"> agency</w:t>
      </w:r>
      <w:r w:rsidR="0045527D" w:rsidRPr="00424791">
        <w:t xml:space="preserve"> and distributes</w:t>
      </w:r>
      <w:r w:rsidR="005E3132" w:rsidRPr="00424791">
        <w:t xml:space="preserve"> funds </w:t>
      </w:r>
      <w:r w:rsidR="0045527D" w:rsidRPr="00424791">
        <w:t>that a third party uses</w:t>
      </w:r>
      <w:r w:rsidR="005E3132" w:rsidRPr="00424791">
        <w:t xml:space="preserve"> to</w:t>
      </w:r>
      <w:r w:rsidR="0045527D" w:rsidRPr="00424791">
        <w:t xml:space="preserve"> itself</w:t>
      </w:r>
      <w:r w:rsidR="005E3132" w:rsidRPr="00424791">
        <w:t xml:space="preserve"> carry out the purposes of the Federal award.</w:t>
      </w:r>
    </w:p>
  </w:footnote>
  <w:footnote w:id="8">
    <w:p w14:paraId="5DBE905B" w14:textId="4439C79C" w:rsidR="00F65DA5" w:rsidRPr="00424791" w:rsidRDefault="00F65DA5" w:rsidP="0087745C">
      <w:pPr>
        <w:pStyle w:val="FootnoteText"/>
        <w:jc w:val="both"/>
      </w:pPr>
      <w:r w:rsidRPr="00424791">
        <w:rPr>
          <w:rStyle w:val="FootnoteReference"/>
        </w:rPr>
        <w:footnoteRef/>
      </w:r>
      <w:r w:rsidRPr="00424791">
        <w:t xml:space="preserve"> </w:t>
      </w:r>
      <w:hyperlink r:id="rId11" w:history="1">
        <w:r w:rsidRPr="00424791">
          <w:rPr>
            <w:rStyle w:val="Hyperlink"/>
            <w:color w:val="auto"/>
          </w:rPr>
          <w:t>2 C.F.R. § 200.332</w:t>
        </w:r>
      </w:hyperlink>
      <w:r w:rsidRPr="00424791">
        <w:t xml:space="preserve"> addresses </w:t>
      </w:r>
      <w:r w:rsidR="00D172EB" w:rsidRPr="00424791">
        <w:t>required</w:t>
      </w:r>
      <w:r w:rsidRPr="00424791">
        <w:t xml:space="preserve"> provisions for subaward agreements.</w:t>
      </w:r>
    </w:p>
  </w:footnote>
  <w:footnote w:id="9">
    <w:p w14:paraId="78C5408D" w14:textId="69A7EA5B" w:rsidR="00237913" w:rsidRPr="00424791" w:rsidRDefault="00237913" w:rsidP="0087745C">
      <w:pPr>
        <w:pStyle w:val="FootnoteText"/>
        <w:jc w:val="both"/>
      </w:pPr>
      <w:r w:rsidRPr="00424791">
        <w:rPr>
          <w:rStyle w:val="FootnoteReference"/>
        </w:rPr>
        <w:footnoteRef/>
      </w:r>
      <w:r w:rsidRPr="00424791">
        <w:t xml:space="preserve"> </w:t>
      </w:r>
      <w:r w:rsidR="003920BF" w:rsidRPr="00424791">
        <w:t xml:space="preserve">The </w:t>
      </w:r>
      <w:r w:rsidRPr="00424791">
        <w:t xml:space="preserve">Federal Transit Administration has developed sample clauses </w:t>
      </w:r>
      <w:r w:rsidR="0042239C" w:rsidRPr="00424791">
        <w:t xml:space="preserve">addressing </w:t>
      </w:r>
      <w:r w:rsidR="00B2339A" w:rsidRPr="00424791">
        <w:t xml:space="preserve">the clauses required by § (A) and § (B) of Appendix II to 2 C.F.R. Part 200.  </w:t>
      </w:r>
      <w:r w:rsidR="00B2339A" w:rsidRPr="00424791">
        <w:rPr>
          <w:i/>
          <w:iCs/>
        </w:rPr>
        <w:t xml:space="preserve">See </w:t>
      </w:r>
      <w:hyperlink r:id="rId12" w:history="1">
        <w:r w:rsidR="00B2339A" w:rsidRPr="00424791">
          <w:rPr>
            <w:rStyle w:val="Hyperlink"/>
            <w:color w:val="auto"/>
          </w:rPr>
          <w:t>Federal Transit Administration, Best Practices Procurement &amp; Lessons Learned Manual</w:t>
        </w:r>
        <w:r w:rsidR="007D2A01" w:rsidRPr="00424791">
          <w:rPr>
            <w:rStyle w:val="Hyperlink"/>
            <w:color w:val="auto"/>
          </w:rPr>
          <w:t>, FTA Report No. 0105</w:t>
        </w:r>
        <w:r w:rsidR="006A1FC4" w:rsidRPr="00424791">
          <w:rPr>
            <w:rStyle w:val="Hyperlink"/>
            <w:color w:val="auto"/>
          </w:rPr>
          <w:t xml:space="preserve"> A-69-</w:t>
        </w:r>
        <w:r w:rsidR="00D83A44" w:rsidRPr="00424791">
          <w:rPr>
            <w:rStyle w:val="Hyperlink"/>
            <w:color w:val="auto"/>
          </w:rPr>
          <w:t>78</w:t>
        </w:r>
        <w:r w:rsidR="00B2339A" w:rsidRPr="00424791">
          <w:rPr>
            <w:rStyle w:val="Hyperlink"/>
            <w:color w:val="auto"/>
          </w:rPr>
          <w:t xml:space="preserve"> (2016)</w:t>
        </w:r>
      </w:hyperlink>
      <w:r w:rsidR="00D83A44" w:rsidRPr="00424791">
        <w:t>.</w:t>
      </w:r>
      <w:r w:rsidR="007D2A01" w:rsidRPr="00424791">
        <w:t xml:space="preserve"> </w:t>
      </w:r>
    </w:p>
  </w:footnote>
  <w:footnote w:id="10">
    <w:p w14:paraId="02556BC6" w14:textId="7E235BAC" w:rsidR="00EA6CB9" w:rsidRPr="00424791" w:rsidRDefault="00EA6CB9" w:rsidP="0087745C">
      <w:pPr>
        <w:pStyle w:val="FootnoteText"/>
        <w:jc w:val="both"/>
      </w:pPr>
      <w:r w:rsidRPr="00424791">
        <w:rPr>
          <w:rStyle w:val="FootnoteReference"/>
        </w:rPr>
        <w:footnoteRef/>
      </w:r>
      <w:r w:rsidRPr="00424791">
        <w:t xml:space="preserve"> </w:t>
      </w:r>
      <w:r w:rsidR="00A7093D" w:rsidRPr="00424791">
        <w:t>For purposes of this table, a</w:t>
      </w:r>
      <w:r w:rsidR="0034524D" w:rsidRPr="00424791">
        <w:t xml:space="preserve"> “mandatory” clause means that </w:t>
      </w:r>
      <w:r w:rsidR="00A7093D" w:rsidRPr="00424791">
        <w:t>the clause</w:t>
      </w:r>
      <w:r w:rsidR="0047536A" w:rsidRPr="00424791">
        <w:t xml:space="preserve"> (as drafted in the Addendum) should </w:t>
      </w:r>
      <w:r w:rsidR="009D0D56" w:rsidRPr="00424791">
        <w:t xml:space="preserve">be included </w:t>
      </w:r>
      <w:r w:rsidR="00A7093D" w:rsidRPr="00424791">
        <w:t>in a “contract” supported by Fiscal Recovery Funds.  A “mandatory” clause, by its terms,</w:t>
      </w:r>
      <w:r w:rsidRPr="00424791">
        <w:t xml:space="preserve"> still may not </w:t>
      </w:r>
      <w:r w:rsidR="000F7431" w:rsidRPr="00424791">
        <w:t>apply</w:t>
      </w:r>
      <w:r w:rsidRPr="00424791">
        <w:t xml:space="preserve"> </w:t>
      </w:r>
      <w:r w:rsidR="0047536A" w:rsidRPr="00424791">
        <w:t xml:space="preserve">in a particular scenario </w:t>
      </w:r>
      <w:r w:rsidRPr="00424791">
        <w:t>if the</w:t>
      </w:r>
      <w:r w:rsidR="00BF51A1" w:rsidRPr="00424791">
        <w:t xml:space="preserve"> clause’s</w:t>
      </w:r>
      <w:r w:rsidRPr="00424791">
        <w:t xml:space="preserve"> </w:t>
      </w:r>
      <w:r w:rsidR="0047536A" w:rsidRPr="00424791">
        <w:t>language</w:t>
      </w:r>
      <w:r w:rsidRPr="00424791">
        <w:t xml:space="preserve"> </w:t>
      </w:r>
      <w:r w:rsidR="00580D6A" w:rsidRPr="00424791">
        <w:t xml:space="preserve">does not trigger </w:t>
      </w:r>
      <w:r w:rsidR="000F7431" w:rsidRPr="00424791">
        <w:t>its</w:t>
      </w:r>
      <w:r w:rsidR="00580D6A" w:rsidRPr="00424791">
        <w:t xml:space="preserve"> application</w:t>
      </w:r>
      <w:r w:rsidR="000F7431" w:rsidRPr="00424791">
        <w:t xml:space="preserve">.  For example, </w:t>
      </w:r>
      <w:r w:rsidR="00D21742" w:rsidRPr="00424791">
        <w:t>Appendix II, § (C) requires that</w:t>
      </w:r>
      <w:r w:rsidR="00DB145A" w:rsidRPr="00424791">
        <w:t>, “</w:t>
      </w:r>
      <w:r w:rsidR="00DB145A" w:rsidRPr="00424791">
        <w:rPr>
          <w:i/>
          <w:iCs/>
        </w:rPr>
        <w:t>[e]</w:t>
      </w:r>
      <w:proofErr w:type="spellStart"/>
      <w:r w:rsidR="00DB145A" w:rsidRPr="00424791">
        <w:rPr>
          <w:i/>
          <w:iCs/>
        </w:rPr>
        <w:t>xcept</w:t>
      </w:r>
      <w:proofErr w:type="spellEnd"/>
      <w:r w:rsidR="00DB145A" w:rsidRPr="00424791">
        <w:rPr>
          <w:i/>
          <w:iCs/>
        </w:rPr>
        <w:t xml:space="preserve"> as otherwise provided under 41 C.F.R. Part 60</w:t>
      </w:r>
      <w:r w:rsidR="00DB145A" w:rsidRPr="00424791">
        <w:t>,</w:t>
      </w:r>
      <w:r w:rsidR="00D21742" w:rsidRPr="00424791">
        <w:t xml:space="preserve"> all contracts that meet the definition of ‘federally </w:t>
      </w:r>
      <w:r w:rsidR="00E53D12" w:rsidRPr="00424791">
        <w:t>assisted construction contract</w:t>
      </w:r>
      <w:r w:rsidR="005B5F4F" w:rsidRPr="00424791">
        <w:t>’</w:t>
      </w:r>
      <w:r w:rsidR="0047536A" w:rsidRPr="00424791">
        <w:t xml:space="preserve"> [as defined in </w:t>
      </w:r>
      <w:hyperlink r:id="rId13" w:history="1">
        <w:r w:rsidR="0047536A" w:rsidRPr="00455243">
          <w:rPr>
            <w:rStyle w:val="Hyperlink"/>
          </w:rPr>
          <w:t>41 C.F.R. § 60-1.3</w:t>
        </w:r>
      </w:hyperlink>
      <w:r w:rsidR="0047536A" w:rsidRPr="00424791">
        <w:t>]</w:t>
      </w:r>
      <w:r w:rsidR="0032060F" w:rsidRPr="00424791">
        <w:t xml:space="preserve"> </w:t>
      </w:r>
      <w:r w:rsidR="001926E8" w:rsidRPr="00424791">
        <w:t xml:space="preserve">must </w:t>
      </w:r>
      <w:r w:rsidR="0032060F" w:rsidRPr="00424791">
        <w:t xml:space="preserve">include the equal opportunity clause provided under 41 C.F.R. Part 60[.]”  41 C.F.R. Part 60 applies only to federally assisted construction contracts </w:t>
      </w:r>
      <w:r w:rsidR="00672401" w:rsidRPr="00424791">
        <w:t xml:space="preserve">in excess of $10,000.  </w:t>
      </w:r>
      <w:r w:rsidR="00672401" w:rsidRPr="00424791">
        <w:rPr>
          <w:i/>
          <w:iCs/>
        </w:rPr>
        <w:t>See</w:t>
      </w:r>
      <w:r w:rsidR="00672401" w:rsidRPr="00424791">
        <w:t xml:space="preserve"> </w:t>
      </w:r>
      <w:hyperlink r:id="rId14" w:history="1">
        <w:r w:rsidR="00672401" w:rsidRPr="00326AA1">
          <w:rPr>
            <w:rStyle w:val="Hyperlink"/>
          </w:rPr>
          <w:t>41 C.F.R. § 60-4.1</w:t>
        </w:r>
      </w:hyperlink>
      <w:r w:rsidR="00672401" w:rsidRPr="00424791">
        <w:t>.</w:t>
      </w:r>
      <w:r w:rsidR="00A61A2A" w:rsidRPr="00424791">
        <w:t xml:space="preserve">  </w:t>
      </w:r>
      <w:r w:rsidR="00A61A2A" w:rsidRPr="00326AA1">
        <w:rPr>
          <w:u w:val="single"/>
        </w:rPr>
        <w:t>Section II</w:t>
      </w:r>
      <w:r w:rsidR="00A61A2A" w:rsidRPr="00424791">
        <w:t xml:space="preserve"> of the Addendum</w:t>
      </w:r>
      <w:r w:rsidR="007057C3" w:rsidRPr="00424791">
        <w:t xml:space="preserve"> is drafted to limit the scope of this provision to federally assisted construction contracts </w:t>
      </w:r>
      <w:proofErr w:type="gramStart"/>
      <w:r w:rsidR="007057C3" w:rsidRPr="00424791">
        <w:t>in excess of</w:t>
      </w:r>
      <w:proofErr w:type="gramEnd"/>
      <w:r w:rsidR="007057C3" w:rsidRPr="00424791">
        <w:t xml:space="preserve"> $10,00</w:t>
      </w:r>
      <w:r w:rsidR="00CA3337" w:rsidRPr="00424791">
        <w:t>0—and it need not be removed</w:t>
      </w:r>
      <w:r w:rsidR="007057C3" w:rsidRPr="00424791">
        <w:t>.</w:t>
      </w:r>
    </w:p>
  </w:footnote>
  <w:footnote w:id="11">
    <w:p w14:paraId="49A0BC48" w14:textId="71A2D1B3" w:rsidR="004D2D2C" w:rsidRPr="00424791" w:rsidRDefault="004D2D2C" w:rsidP="0087745C">
      <w:pPr>
        <w:pStyle w:val="FootnoteText"/>
        <w:jc w:val="both"/>
      </w:pPr>
      <w:r w:rsidRPr="00424791">
        <w:rPr>
          <w:rStyle w:val="FootnoteReference"/>
        </w:rPr>
        <w:footnoteRef/>
      </w:r>
      <w:r w:rsidRPr="00424791">
        <w:t xml:space="preserve"> All references to “Appendix II” are to Appendix II to 2 C.F.R. Part 200.</w:t>
      </w:r>
      <w:r w:rsidR="00E0552A" w:rsidRPr="00424791">
        <w:t xml:space="preserve">  All references to the “FRF Award Terms” are to the </w:t>
      </w:r>
      <w:r w:rsidR="00D904B9">
        <w:t>Local FRF Award Terms</w:t>
      </w:r>
      <w:r w:rsidR="00C95514" w:rsidRPr="00424791">
        <w:t>.</w:t>
      </w:r>
    </w:p>
  </w:footnote>
  <w:footnote w:id="12">
    <w:p w14:paraId="0CB197BB" w14:textId="6EE51065" w:rsidR="00C60357" w:rsidRPr="00C60357" w:rsidRDefault="00C60357">
      <w:pPr>
        <w:pStyle w:val="FootnoteText"/>
      </w:pPr>
      <w:r>
        <w:rPr>
          <w:rStyle w:val="FootnoteReference"/>
        </w:rPr>
        <w:footnoteRef/>
      </w:r>
      <w:r>
        <w:t xml:space="preserve"> </w:t>
      </w:r>
      <w:r>
        <w:rPr>
          <w:i/>
          <w:iCs/>
        </w:rPr>
        <w:t xml:space="preserve">But see </w:t>
      </w:r>
      <w:r>
        <w:t xml:space="preserve">Footnote </w:t>
      </w:r>
      <w:r w:rsidR="00804792">
        <w:fldChar w:fldCharType="begin"/>
      </w:r>
      <w:r w:rsidR="00804792">
        <w:instrText xml:space="preserve"> NOTEREF _Ref98250816 \h </w:instrText>
      </w:r>
      <w:r w:rsidR="00804792">
        <w:fldChar w:fldCharType="separate"/>
      </w:r>
      <w:r w:rsidR="00804792">
        <w:t>10</w:t>
      </w:r>
      <w:r w:rsidR="00804792">
        <w:fldChar w:fldCharType="end"/>
      </w:r>
      <w:r w:rsidR="00804792">
        <w:t>.</w:t>
      </w:r>
    </w:p>
  </w:footnote>
  <w:footnote w:id="13">
    <w:p w14:paraId="695639E9" w14:textId="72D5B3F9" w:rsidR="006B1387" w:rsidRPr="00424791" w:rsidRDefault="006B1387" w:rsidP="0087745C">
      <w:pPr>
        <w:pStyle w:val="FootnoteText"/>
        <w:jc w:val="both"/>
      </w:pPr>
      <w:r w:rsidRPr="00424791">
        <w:rPr>
          <w:rStyle w:val="FootnoteReference"/>
        </w:rPr>
        <w:footnoteRef/>
      </w:r>
      <w:r w:rsidRPr="00424791">
        <w:t xml:space="preserve"> </w:t>
      </w:r>
      <w:r w:rsidRPr="00424791">
        <w:rPr>
          <w:i/>
          <w:iCs/>
        </w:rPr>
        <w:t xml:space="preserve">See </w:t>
      </w:r>
      <w:r w:rsidRPr="00424791">
        <w:t>Federal Transit Administration,</w:t>
      </w:r>
      <w:r w:rsidR="00405C2D" w:rsidRPr="00424791">
        <w:t xml:space="preserve"> Contract Clauses Frequently Asked Questions</w:t>
      </w:r>
      <w:r w:rsidRPr="00424791">
        <w:t xml:space="preserve"> </w:t>
      </w:r>
      <w:r w:rsidR="00405C2D" w:rsidRPr="00424791">
        <w:t xml:space="preserve">(last updated Oct. 21, 2015), </w:t>
      </w:r>
      <w:hyperlink r:id="rId15" w:history="1">
        <w:r w:rsidR="00405C2D" w:rsidRPr="00424791">
          <w:rPr>
            <w:rStyle w:val="Hyperlink"/>
            <w:color w:val="auto"/>
          </w:rPr>
          <w:t>https://www.transit.dot.gov/funding/procurement/third-party-procurement/contract-clauses</w:t>
        </w:r>
      </w:hyperlink>
      <w:r w:rsidR="00405C2D" w:rsidRPr="00424791">
        <w:t xml:space="preserve">.  </w:t>
      </w:r>
    </w:p>
  </w:footnote>
  <w:footnote w:id="14">
    <w:p w14:paraId="1B4A2CE5" w14:textId="234FD5E0" w:rsidR="00F678C9" w:rsidRPr="00424791" w:rsidRDefault="00F678C9" w:rsidP="0087745C">
      <w:pPr>
        <w:pStyle w:val="FootnoteText"/>
        <w:jc w:val="both"/>
        <w:rPr>
          <w:i/>
          <w:iCs/>
        </w:rPr>
      </w:pPr>
      <w:r w:rsidRPr="00424791">
        <w:rPr>
          <w:rStyle w:val="FootnoteReference"/>
        </w:rPr>
        <w:footnoteRef/>
      </w:r>
      <w:r w:rsidRPr="00424791">
        <w:t xml:space="preserve"> </w:t>
      </w:r>
      <w:hyperlink r:id="rId16" w:history="1">
        <w:r w:rsidR="00957233">
          <w:rPr>
            <w:rStyle w:val="Hyperlink"/>
            <w:color w:val="auto"/>
          </w:rPr>
          <w:t xml:space="preserve">Office of </w:t>
        </w:r>
        <w:r w:rsidR="004D1D75">
          <w:rPr>
            <w:rStyle w:val="Hyperlink"/>
            <w:color w:val="auto"/>
          </w:rPr>
          <w:t>Mgmt. &amp; Budget</w:t>
        </w:r>
        <w:r w:rsidR="00957233">
          <w:rPr>
            <w:rStyle w:val="Hyperlink"/>
            <w:color w:val="auto"/>
          </w:rPr>
          <w:t xml:space="preserve">, 2 CFR Part 200, Uniform Administrative Requirements, Cost Principles, and Audit Requirements, </w:t>
        </w:r>
        <w:r w:rsidR="00713C5E" w:rsidRPr="00424791">
          <w:rPr>
            <w:rStyle w:val="Hyperlink"/>
            <w:color w:val="auto"/>
          </w:rPr>
          <w:t>6 Fed. Reg. 68533</w:t>
        </w:r>
        <w:r w:rsidR="00957233">
          <w:rPr>
            <w:rStyle w:val="Hyperlink"/>
            <w:color w:val="auto"/>
          </w:rPr>
          <w:t>, 68533</w:t>
        </w:r>
        <w:r w:rsidR="00713C5E" w:rsidRPr="00424791">
          <w:rPr>
            <w:rStyle w:val="Hyperlink"/>
            <w:color w:val="auto"/>
          </w:rPr>
          <w:t xml:space="preserve"> (Dec. 3, 2021)</w:t>
        </w:r>
      </w:hyperlink>
      <w:r w:rsidR="00C453C0" w:rsidRPr="00424791">
        <w:rPr>
          <w:rStyle w:val="Hyperlink"/>
          <w:color w:val="auto"/>
          <w:u w:val="none"/>
        </w:rPr>
        <w:t xml:space="preserve">; </w:t>
      </w:r>
      <w:r w:rsidR="00C453C0" w:rsidRPr="00424791">
        <w:rPr>
          <w:rStyle w:val="Hyperlink"/>
          <w:i/>
          <w:iCs/>
          <w:color w:val="auto"/>
          <w:u w:val="none"/>
        </w:rPr>
        <w:t xml:space="preserve">see also </w:t>
      </w:r>
      <w:hyperlink r:id="rId17" w:history="1">
        <w:r w:rsidR="00263AF7" w:rsidRPr="009E38DD">
          <w:rPr>
            <w:rStyle w:val="Hyperlink"/>
          </w:rPr>
          <w:t xml:space="preserve">Office of Management and Budget, </w:t>
        </w:r>
        <w:r w:rsidR="001A74D2" w:rsidRPr="009E38DD">
          <w:rPr>
            <w:rStyle w:val="Hyperlink"/>
          </w:rPr>
          <w:t>2021 Addendum 1 Compliance Supplement</w:t>
        </w:r>
        <w:r w:rsidR="00DE30E8" w:rsidRPr="009E38DD">
          <w:rPr>
            <w:rStyle w:val="Hyperlink"/>
          </w:rPr>
          <w:t xml:space="preserve"> Assistance Listing 21.027</w:t>
        </w:r>
        <w:r w:rsidR="00495BF8" w:rsidRPr="009E38DD">
          <w:rPr>
            <w:rStyle w:val="Hyperlink"/>
          </w:rPr>
          <w:t xml:space="preserve">, </w:t>
        </w:r>
        <w:r w:rsidR="00DE30E8" w:rsidRPr="009E38DD">
          <w:rPr>
            <w:rStyle w:val="Hyperlink"/>
          </w:rPr>
          <w:t>Coronavirus State and Local Fiscal Recovery Funds</w:t>
        </w:r>
      </w:hyperlink>
      <w:r w:rsidR="0087745C" w:rsidRPr="00424791">
        <w:rPr>
          <w:rStyle w:val="Hyperlink"/>
          <w:color w:val="auto"/>
          <w:u w:val="none"/>
        </w:rPr>
        <w:t>.</w:t>
      </w:r>
    </w:p>
  </w:footnote>
  <w:footnote w:id="15">
    <w:p w14:paraId="4FEABDD3" w14:textId="6D964A3F" w:rsidR="00F26487" w:rsidRPr="00F26487" w:rsidRDefault="00F26487">
      <w:pPr>
        <w:pStyle w:val="FootnoteText"/>
      </w:pPr>
      <w:r>
        <w:rPr>
          <w:rStyle w:val="FootnoteReference"/>
        </w:rPr>
        <w:footnoteRef/>
      </w:r>
      <w:r>
        <w:t xml:space="preserve"> </w:t>
      </w:r>
      <w:r>
        <w:rPr>
          <w:i/>
          <w:iCs/>
        </w:rPr>
        <w:t xml:space="preserve">See </w:t>
      </w:r>
      <w:hyperlink r:id="rId18" w:history="1">
        <w:r w:rsidRPr="00F26487">
          <w:rPr>
            <w:rStyle w:val="Hyperlink"/>
          </w:rPr>
          <w:t>2 C.F.R. § 200.320(a)(1)(ii)</w:t>
        </w:r>
      </w:hyperlink>
      <w:r>
        <w:t>.</w:t>
      </w:r>
    </w:p>
  </w:footnote>
  <w:footnote w:id="16">
    <w:p w14:paraId="3A6B2D04" w14:textId="319334C0" w:rsidR="009E26B4" w:rsidRPr="009E26B4" w:rsidRDefault="009E26B4">
      <w:pPr>
        <w:pStyle w:val="FootnoteText"/>
      </w:pPr>
      <w:r>
        <w:rPr>
          <w:rStyle w:val="FootnoteReference"/>
        </w:rPr>
        <w:footnoteRef/>
      </w:r>
      <w:r>
        <w:t xml:space="preserve"> </w:t>
      </w:r>
      <w:r>
        <w:rPr>
          <w:i/>
          <w:iCs/>
        </w:rPr>
        <w:t xml:space="preserve">Id. </w:t>
      </w:r>
      <w:r>
        <w:t>§ 200.320(a)(1)(iii).</w:t>
      </w:r>
    </w:p>
  </w:footnote>
  <w:footnote w:id="17">
    <w:p w14:paraId="693BEF40" w14:textId="0DB1D1B9" w:rsidR="00497373" w:rsidRPr="00BB40E9" w:rsidRDefault="00497373">
      <w:pPr>
        <w:pStyle w:val="FootnoteText"/>
      </w:pPr>
      <w:r>
        <w:rPr>
          <w:rStyle w:val="FootnoteReference"/>
        </w:rPr>
        <w:footnoteRef/>
      </w:r>
      <w:r>
        <w:t xml:space="preserve"> For additional detail about the “self-certification” of a micro-purchase threshold exceeding $10,000, see </w:t>
      </w:r>
      <w:hyperlink r:id="rId19" w:history="1">
        <w:r w:rsidRPr="003F5CD6">
          <w:rPr>
            <w:rStyle w:val="Hyperlink"/>
          </w:rPr>
          <w:t xml:space="preserve">Connor Crews, </w:t>
        </w:r>
        <w:r w:rsidR="00BB40E9" w:rsidRPr="003F5CD6">
          <w:rPr>
            <w:rStyle w:val="Hyperlink"/>
            <w:i/>
            <w:iCs/>
          </w:rPr>
          <w:t>Raising the Federal Micro-Purchase Threshold: Self-Certification for Units of Local Government in North Carolina</w:t>
        </w:r>
        <w:r w:rsidR="00BB40E9" w:rsidRPr="003F5CD6">
          <w:rPr>
            <w:rStyle w:val="Hyperlink"/>
          </w:rPr>
          <w:t>, Coates’ Canons: NC Loc. Gov’t L</w:t>
        </w:r>
        <w:r w:rsidR="003F5CD6" w:rsidRPr="003F5CD6">
          <w:rPr>
            <w:rStyle w:val="Hyperlink"/>
          </w:rPr>
          <w:t>aw</w:t>
        </w:r>
        <w:r w:rsidR="00BB40E9" w:rsidRPr="003F5CD6">
          <w:rPr>
            <w:rStyle w:val="Hyperlink"/>
          </w:rPr>
          <w:t xml:space="preserve"> (Apr. 23, 2021)</w:t>
        </w:r>
      </w:hyperlink>
      <w:r w:rsidR="00BB40E9">
        <w:t>.</w:t>
      </w:r>
    </w:p>
  </w:footnote>
  <w:footnote w:id="18">
    <w:p w14:paraId="78301FFF" w14:textId="31BB4D5D" w:rsidR="00851906" w:rsidRPr="00851906" w:rsidRDefault="00851906" w:rsidP="00E23043">
      <w:pPr>
        <w:pStyle w:val="FootnoteText"/>
        <w:jc w:val="both"/>
      </w:pPr>
      <w:r>
        <w:rPr>
          <w:rStyle w:val="FootnoteReference"/>
        </w:rPr>
        <w:footnoteRef/>
      </w:r>
      <w:r>
        <w:t xml:space="preserve"> </w:t>
      </w:r>
      <w:hyperlink r:id="rId20" w:history="1">
        <w:r w:rsidRPr="00E23043">
          <w:rPr>
            <w:rStyle w:val="Hyperlink"/>
          </w:rPr>
          <w:t xml:space="preserve">U.S. Chief Financial Officers’ Council, </w:t>
        </w:r>
        <w:r w:rsidRPr="00E23043">
          <w:rPr>
            <w:rStyle w:val="Hyperlink"/>
            <w:i/>
            <w:iCs/>
          </w:rPr>
          <w:t>2 CFR Frequently Asked Questions</w:t>
        </w:r>
        <w:r w:rsidRPr="00E23043">
          <w:rPr>
            <w:rStyle w:val="Hyperlink"/>
          </w:rPr>
          <w:t>, Q-</w:t>
        </w:r>
        <w:r w:rsidR="004C5C95" w:rsidRPr="00E23043">
          <w:rPr>
            <w:rStyle w:val="Hyperlink"/>
          </w:rPr>
          <w:t>90 (May 23, 2021)</w:t>
        </w:r>
      </w:hyperlink>
      <w:r w:rsidR="00E23043">
        <w:t>.</w:t>
      </w:r>
    </w:p>
  </w:footnote>
  <w:footnote w:id="19">
    <w:p w14:paraId="55CA8035" w14:textId="3E6326CB" w:rsidR="0088132C" w:rsidRPr="00424791" w:rsidRDefault="0088132C" w:rsidP="0087745C">
      <w:pPr>
        <w:pStyle w:val="FootnoteText"/>
        <w:jc w:val="both"/>
      </w:pPr>
      <w:r w:rsidRPr="00424791">
        <w:rPr>
          <w:rStyle w:val="FootnoteReference"/>
        </w:rPr>
        <w:footnoteRef/>
      </w:r>
      <w:r w:rsidRPr="00424791">
        <w:t xml:space="preserve"> “Federal financial assistance” is defined by regulation.  </w:t>
      </w:r>
      <w:r w:rsidRPr="00424791">
        <w:rPr>
          <w:i/>
          <w:iCs/>
        </w:rPr>
        <w:t>See</w:t>
      </w:r>
      <w:r w:rsidRPr="00424791">
        <w:t xml:space="preserve"> </w:t>
      </w:r>
      <w:hyperlink r:id="rId21" w:history="1">
        <w:r w:rsidRPr="004E1C95">
          <w:rPr>
            <w:rStyle w:val="Hyperlink"/>
          </w:rPr>
          <w:t>2 C.F.R. § 200.1</w:t>
        </w:r>
      </w:hyperlink>
      <w:r w:rsidRPr="00424791">
        <w:t xml:space="preserve"> (defining “Federal financial assistance</w:t>
      </w:r>
      <w:r w:rsidR="000567D7" w:rsidRPr="00424791">
        <w:t>”</w:t>
      </w:r>
      <w:r w:rsidRPr="00424791">
        <w:t xml:space="preserve"> to include, among other things, grants, loans, loan guarantees, cooperative agreements, and direct appropriations). </w:t>
      </w:r>
    </w:p>
  </w:footnote>
  <w:footnote w:id="20">
    <w:p w14:paraId="5617B5AA" w14:textId="790F6CA6" w:rsidR="000C02C0" w:rsidRPr="00D57A3A" w:rsidRDefault="000C02C0">
      <w:pPr>
        <w:pStyle w:val="FootnoteText"/>
        <w:rPr>
          <w:color w:val="FF0000"/>
        </w:rPr>
      </w:pPr>
      <w:r w:rsidRPr="00424791">
        <w:rPr>
          <w:rStyle w:val="FootnoteReference"/>
        </w:rPr>
        <w:footnoteRef/>
      </w:r>
      <w:r w:rsidRPr="00424791">
        <w:t xml:space="preserve"> </w:t>
      </w:r>
      <w:hyperlink r:id="rId22" w:history="1">
        <w:r w:rsidRPr="00424791">
          <w:rPr>
            <w:rStyle w:val="Hyperlink"/>
            <w:color w:val="auto"/>
          </w:rPr>
          <w:t>Guidance for Grants and Agreements, 85 Fed. Reg. 49,506 (Aug. 13, 2020)</w:t>
        </w:r>
      </w:hyperlink>
      <w:r w:rsidRPr="00D57A3A">
        <w:rPr>
          <w:color w:val="FF0000"/>
        </w:rPr>
        <w:t>.</w:t>
      </w:r>
    </w:p>
  </w:footnote>
  <w:footnote w:id="21">
    <w:p w14:paraId="1BAA4D92" w14:textId="2BC0F193" w:rsidR="00FA28F4" w:rsidRPr="00D57A3A" w:rsidRDefault="00FA28F4" w:rsidP="0087745C">
      <w:pPr>
        <w:pStyle w:val="FootnoteText"/>
        <w:jc w:val="both"/>
        <w:rPr>
          <w:color w:val="FF0000"/>
        </w:rPr>
      </w:pPr>
      <w:r w:rsidRPr="00D57A3A">
        <w:rPr>
          <w:rStyle w:val="FootnoteReference"/>
          <w:color w:val="FF0000"/>
        </w:rPr>
        <w:footnoteRef/>
      </w:r>
      <w:r w:rsidRPr="00D57A3A">
        <w:rPr>
          <w:color w:val="FF0000"/>
        </w:rPr>
        <w:t xml:space="preserve"> </w:t>
      </w:r>
      <w:r w:rsidR="00372301" w:rsidRPr="00D57A3A">
        <w:rPr>
          <w:b/>
          <w:bCs/>
          <w:color w:val="FF0000"/>
          <w:u w:val="single"/>
        </w:rPr>
        <w:t>Note to Draft</w:t>
      </w:r>
      <w:r w:rsidRPr="00D57A3A">
        <w:rPr>
          <w:color w:val="FF0000"/>
        </w:rPr>
        <w:t xml:space="preserve">:  Insert legal name of contractor (e.g., </w:t>
      </w:r>
      <w:r w:rsidR="00492A9B" w:rsidRPr="00D57A3A">
        <w:rPr>
          <w:color w:val="FF0000"/>
        </w:rPr>
        <w:t>“</w:t>
      </w:r>
      <w:r w:rsidRPr="00D57A3A">
        <w:rPr>
          <w:color w:val="FF0000"/>
        </w:rPr>
        <w:t>ABC Industries, Inc.</w:t>
      </w:r>
      <w:r w:rsidR="00492A9B" w:rsidRPr="00D57A3A">
        <w:rPr>
          <w:color w:val="FF0000"/>
        </w:rPr>
        <w:t>”</w:t>
      </w:r>
      <w:r w:rsidRPr="00D57A3A">
        <w:rPr>
          <w:color w:val="FF0000"/>
        </w:rPr>
        <w:t>)</w:t>
      </w:r>
      <w:r w:rsidR="005649C5" w:rsidRPr="00D57A3A">
        <w:rPr>
          <w:color w:val="FF0000"/>
        </w:rPr>
        <w:t>.</w:t>
      </w:r>
    </w:p>
  </w:footnote>
  <w:footnote w:id="22">
    <w:p w14:paraId="46EACA91" w14:textId="41CA7611" w:rsidR="005649C5" w:rsidRPr="00D57A3A" w:rsidRDefault="005649C5" w:rsidP="0087745C">
      <w:pPr>
        <w:pStyle w:val="FootnoteText"/>
        <w:jc w:val="both"/>
        <w:rPr>
          <w:color w:val="FF0000"/>
        </w:rPr>
      </w:pPr>
      <w:r w:rsidRPr="00D57A3A">
        <w:rPr>
          <w:rStyle w:val="FootnoteReference"/>
          <w:color w:val="FF0000"/>
        </w:rPr>
        <w:footnoteRef/>
      </w:r>
      <w:r w:rsidRPr="00D57A3A">
        <w:rPr>
          <w:color w:val="FF0000"/>
        </w:rPr>
        <w:t xml:space="preserve"> </w:t>
      </w:r>
      <w:r w:rsidR="00372301" w:rsidRPr="00D57A3A">
        <w:rPr>
          <w:b/>
          <w:bCs/>
          <w:color w:val="FF0000"/>
          <w:u w:val="single"/>
        </w:rPr>
        <w:t>Note to Draft</w:t>
      </w:r>
      <w:r w:rsidR="00372301" w:rsidRPr="00D57A3A">
        <w:rPr>
          <w:color w:val="FF0000"/>
        </w:rPr>
        <w:t>:</w:t>
      </w:r>
      <w:r w:rsidRPr="00D57A3A">
        <w:rPr>
          <w:color w:val="FF0000"/>
        </w:rPr>
        <w:t xml:space="preserve">  Insert type of legal entity (e.g., </w:t>
      </w:r>
      <w:r w:rsidR="00492A9B" w:rsidRPr="00D57A3A">
        <w:rPr>
          <w:color w:val="FF0000"/>
        </w:rPr>
        <w:t>“</w:t>
      </w:r>
      <w:r w:rsidRPr="00D57A3A">
        <w:rPr>
          <w:color w:val="FF0000"/>
        </w:rPr>
        <w:t>a Delaware corporation</w:t>
      </w:r>
      <w:r w:rsidR="00492A9B" w:rsidRPr="00D57A3A">
        <w:rPr>
          <w:color w:val="FF0000"/>
        </w:rPr>
        <w:t>”</w:t>
      </w:r>
      <w:r w:rsidRPr="00D57A3A">
        <w:rPr>
          <w:color w:val="FF0000"/>
        </w:rPr>
        <w:t>).</w:t>
      </w:r>
    </w:p>
  </w:footnote>
  <w:footnote w:id="23">
    <w:p w14:paraId="6F6E90CF" w14:textId="0B32879D" w:rsidR="00FA28F4" w:rsidRPr="00D57A3A" w:rsidRDefault="00FA28F4" w:rsidP="0087745C">
      <w:pPr>
        <w:pStyle w:val="FootnoteText"/>
        <w:jc w:val="both"/>
        <w:rPr>
          <w:color w:val="FF0000"/>
        </w:rPr>
      </w:pPr>
      <w:r w:rsidRPr="00D57A3A">
        <w:rPr>
          <w:rStyle w:val="FootnoteReference"/>
          <w:color w:val="FF0000"/>
        </w:rPr>
        <w:footnoteRef/>
      </w:r>
      <w:r w:rsidRPr="00D57A3A">
        <w:rPr>
          <w:color w:val="FF0000"/>
        </w:rPr>
        <w:t xml:space="preserve"> </w:t>
      </w:r>
      <w:r w:rsidR="00372301" w:rsidRPr="00D57A3A">
        <w:rPr>
          <w:b/>
          <w:bCs/>
          <w:color w:val="FF0000"/>
          <w:u w:val="single"/>
        </w:rPr>
        <w:t>Note to Draft</w:t>
      </w:r>
      <w:r w:rsidR="00372301" w:rsidRPr="00D57A3A">
        <w:rPr>
          <w:color w:val="FF0000"/>
        </w:rPr>
        <w:t>:</w:t>
      </w:r>
      <w:r w:rsidRPr="00D57A3A">
        <w:rPr>
          <w:color w:val="FF0000"/>
        </w:rPr>
        <w:t xml:space="preserve">  Insert legal name of unit of local government (e.g., </w:t>
      </w:r>
      <w:r w:rsidR="00492A9B" w:rsidRPr="00D57A3A">
        <w:rPr>
          <w:color w:val="FF0000"/>
        </w:rPr>
        <w:t>“</w:t>
      </w:r>
      <w:r w:rsidR="00EC5BEE" w:rsidRPr="00D57A3A">
        <w:rPr>
          <w:color w:val="FF0000"/>
        </w:rPr>
        <w:t>Town of Coatesville</w:t>
      </w:r>
      <w:r w:rsidR="00492A9B" w:rsidRPr="00D57A3A">
        <w:rPr>
          <w:color w:val="FF0000"/>
        </w:rPr>
        <w:t>”</w:t>
      </w:r>
      <w:r w:rsidRPr="00D57A3A">
        <w:rPr>
          <w:color w:val="FF0000"/>
        </w:rPr>
        <w:t>).</w:t>
      </w:r>
    </w:p>
  </w:footnote>
  <w:footnote w:id="24">
    <w:p w14:paraId="777520E2" w14:textId="7FCC1C69" w:rsidR="00066897" w:rsidRPr="00D57A3A" w:rsidRDefault="00066897" w:rsidP="0087745C">
      <w:pPr>
        <w:pStyle w:val="FootnoteText"/>
        <w:jc w:val="both"/>
        <w:rPr>
          <w:color w:val="FF0000"/>
        </w:rPr>
      </w:pPr>
      <w:r w:rsidRPr="00D57A3A">
        <w:rPr>
          <w:rStyle w:val="FootnoteReference"/>
          <w:color w:val="FF0000"/>
        </w:rPr>
        <w:footnoteRef/>
      </w:r>
      <w:r w:rsidRPr="00D57A3A">
        <w:rPr>
          <w:color w:val="FF0000"/>
        </w:rPr>
        <w:t xml:space="preserve"> </w:t>
      </w:r>
      <w:r w:rsidR="00372301" w:rsidRPr="00D57A3A">
        <w:rPr>
          <w:b/>
          <w:bCs/>
          <w:color w:val="FF0000"/>
          <w:u w:val="single"/>
        </w:rPr>
        <w:t>Note to Draft</w:t>
      </w:r>
      <w:r w:rsidR="00372301" w:rsidRPr="00D57A3A">
        <w:rPr>
          <w:color w:val="FF0000"/>
        </w:rPr>
        <w:t>:</w:t>
      </w:r>
      <w:r w:rsidRPr="00D57A3A">
        <w:rPr>
          <w:color w:val="FF0000"/>
        </w:rPr>
        <w:t xml:space="preserve">  Insert type of legal entity (e.g., </w:t>
      </w:r>
      <w:r w:rsidR="00492A9B" w:rsidRPr="00D57A3A">
        <w:rPr>
          <w:color w:val="FF0000"/>
        </w:rPr>
        <w:t>“</w:t>
      </w:r>
      <w:r w:rsidRPr="00D57A3A">
        <w:rPr>
          <w:color w:val="FF0000"/>
        </w:rPr>
        <w:t>a municipal corporation of the State of North Carolina</w:t>
      </w:r>
      <w:r w:rsidR="00492A9B" w:rsidRPr="00D57A3A">
        <w:rPr>
          <w:color w:val="FF0000"/>
        </w:rPr>
        <w:t>”</w:t>
      </w:r>
      <w:r w:rsidRPr="00D57A3A">
        <w:rPr>
          <w:color w:val="FF0000"/>
        </w:rPr>
        <w:t>).</w:t>
      </w:r>
    </w:p>
  </w:footnote>
  <w:footnote w:id="25">
    <w:p w14:paraId="709B00CB" w14:textId="29199141" w:rsidR="001F684B" w:rsidRPr="00D57A3A" w:rsidRDefault="001F684B"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This provision satisfies 2 C.F.R. Part 200, Appendix II</w:t>
      </w:r>
      <w:r w:rsidR="001B2257">
        <w:rPr>
          <w:color w:val="FF0000"/>
        </w:rPr>
        <w:t xml:space="preserve"> (hereinafter Appendix II)</w:t>
      </w:r>
      <w:r w:rsidRPr="00D57A3A">
        <w:rPr>
          <w:color w:val="FF0000"/>
        </w:rPr>
        <w:t>, §</w:t>
      </w:r>
      <w:r w:rsidR="00BA3673" w:rsidRPr="00D57A3A">
        <w:rPr>
          <w:color w:val="FF0000"/>
        </w:rPr>
        <w:t xml:space="preserve"> (C)</w:t>
      </w:r>
      <w:r w:rsidR="00433146" w:rsidRPr="00D57A3A">
        <w:rPr>
          <w:color w:val="FF0000"/>
        </w:rPr>
        <w:t>.</w:t>
      </w:r>
      <w:r w:rsidR="00BA3673" w:rsidRPr="00D57A3A">
        <w:rPr>
          <w:color w:val="FF0000"/>
        </w:rPr>
        <w:t xml:space="preserve">  It contains the equal opportunity clause provided under </w:t>
      </w:r>
      <w:hyperlink r:id="rId23" w:history="1">
        <w:r w:rsidR="00BA3673" w:rsidRPr="00B16EFF">
          <w:rPr>
            <w:rStyle w:val="Hyperlink"/>
          </w:rPr>
          <w:t>41 C.F.R. § 60-1.4(b)</w:t>
        </w:r>
      </w:hyperlink>
      <w:r w:rsidR="00BA3673" w:rsidRPr="00D57A3A">
        <w:rPr>
          <w:color w:val="FF0000"/>
        </w:rPr>
        <w:t>.  The clause applies only</w:t>
      </w:r>
      <w:r w:rsidR="00433146" w:rsidRPr="00D57A3A">
        <w:rPr>
          <w:color w:val="FF0000"/>
        </w:rPr>
        <w:t xml:space="preserve"> to</w:t>
      </w:r>
      <w:r w:rsidR="00BA3673" w:rsidRPr="00D57A3A">
        <w:rPr>
          <w:color w:val="FF0000"/>
        </w:rPr>
        <w:t xml:space="preserve"> </w:t>
      </w:r>
      <w:r w:rsidR="006011BD">
        <w:rPr>
          <w:color w:val="FF0000"/>
        </w:rPr>
        <w:t>f</w:t>
      </w:r>
      <w:r w:rsidRPr="00D57A3A">
        <w:rPr>
          <w:color w:val="FF0000"/>
        </w:rPr>
        <w:t xml:space="preserve">ederally </w:t>
      </w:r>
      <w:r w:rsidR="006011BD">
        <w:rPr>
          <w:color w:val="FF0000"/>
        </w:rPr>
        <w:t>a</w:t>
      </w:r>
      <w:r w:rsidRPr="00D57A3A">
        <w:rPr>
          <w:color w:val="FF0000"/>
        </w:rPr>
        <w:t xml:space="preserve">ssisted </w:t>
      </w:r>
      <w:r w:rsidR="006011BD">
        <w:rPr>
          <w:color w:val="FF0000"/>
        </w:rPr>
        <w:t>c</w:t>
      </w:r>
      <w:r w:rsidRPr="00D57A3A">
        <w:rPr>
          <w:color w:val="FF0000"/>
        </w:rPr>
        <w:t xml:space="preserve">onstruction </w:t>
      </w:r>
      <w:r w:rsidR="006011BD">
        <w:rPr>
          <w:color w:val="FF0000"/>
        </w:rPr>
        <w:t>c</w:t>
      </w:r>
      <w:r w:rsidRPr="00D57A3A">
        <w:rPr>
          <w:color w:val="FF0000"/>
        </w:rPr>
        <w:t>ontracts</w:t>
      </w:r>
      <w:r w:rsidR="00BA3673" w:rsidRPr="00D57A3A">
        <w:rPr>
          <w:color w:val="FF0000"/>
        </w:rPr>
        <w:t xml:space="preserve"> (as defined in </w:t>
      </w:r>
      <w:hyperlink r:id="rId24" w:history="1">
        <w:r w:rsidR="00BA3673" w:rsidRPr="00F67FFB">
          <w:rPr>
            <w:rStyle w:val="Hyperlink"/>
          </w:rPr>
          <w:t xml:space="preserve">41 C.F.R. </w:t>
        </w:r>
        <w:r w:rsidR="00D4762E" w:rsidRPr="00F67FFB">
          <w:rPr>
            <w:rStyle w:val="Hyperlink"/>
          </w:rPr>
          <w:t>§ 60-1.3</w:t>
        </w:r>
      </w:hyperlink>
      <w:r w:rsidR="00D4762E" w:rsidRPr="00D57A3A">
        <w:rPr>
          <w:color w:val="FF0000"/>
        </w:rPr>
        <w:t>)</w:t>
      </w:r>
      <w:r w:rsidR="006E6D7C" w:rsidRPr="00D57A3A">
        <w:rPr>
          <w:color w:val="FF0000"/>
        </w:rPr>
        <w:t xml:space="preserve"> that exceed $10,000</w:t>
      </w:r>
      <w:r w:rsidR="00D4762E" w:rsidRPr="00D57A3A">
        <w:rPr>
          <w:color w:val="FF0000"/>
        </w:rPr>
        <w:t xml:space="preserve">.  </w:t>
      </w:r>
      <w:r w:rsidR="008422DE" w:rsidRPr="006011BD">
        <w:rPr>
          <w:color w:val="FF0000"/>
          <w:u w:val="single"/>
        </w:rPr>
        <w:t>Section I</w:t>
      </w:r>
      <w:r w:rsidR="008422DE" w:rsidRPr="00D57A3A">
        <w:rPr>
          <w:color w:val="FF0000"/>
        </w:rPr>
        <w:t xml:space="preserve"> contains certain definitions</w:t>
      </w:r>
      <w:r w:rsidR="00433146" w:rsidRPr="00D57A3A">
        <w:rPr>
          <w:color w:val="FF0000"/>
        </w:rPr>
        <w:t xml:space="preserve"> </w:t>
      </w:r>
      <w:r w:rsidR="0086272F" w:rsidRPr="00D57A3A">
        <w:rPr>
          <w:color w:val="FF0000"/>
        </w:rPr>
        <w:t>from 41 C.F.R. § 60-1.3</w:t>
      </w:r>
      <w:r w:rsidR="00F67FFB">
        <w:rPr>
          <w:color w:val="FF0000"/>
        </w:rPr>
        <w:t xml:space="preserve"> </w:t>
      </w:r>
      <w:r w:rsidR="00433146" w:rsidRPr="00D57A3A">
        <w:rPr>
          <w:color w:val="FF0000"/>
        </w:rPr>
        <w:t>relevant to these provisions</w:t>
      </w:r>
      <w:r w:rsidR="0086272F" w:rsidRPr="00D57A3A">
        <w:rPr>
          <w:color w:val="FF0000"/>
        </w:rPr>
        <w:t>.</w:t>
      </w:r>
    </w:p>
  </w:footnote>
  <w:footnote w:id="26">
    <w:p w14:paraId="1F19CCFE" w14:textId="73F4CD22" w:rsidR="00A724BB" w:rsidRPr="00D57A3A" w:rsidRDefault="00A724BB"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00A64A7A" w:rsidRPr="00D57A3A">
        <w:rPr>
          <w:color w:val="FF0000"/>
        </w:rPr>
        <w:t xml:space="preserve">Under </w:t>
      </w:r>
      <w:r w:rsidR="00A93AB7" w:rsidRPr="00D57A3A">
        <w:rPr>
          <w:color w:val="FF0000"/>
        </w:rPr>
        <w:t>Appendix II, § (D)</w:t>
      </w:r>
      <w:r w:rsidR="00A64A7A" w:rsidRPr="00D57A3A">
        <w:rPr>
          <w:color w:val="FF0000"/>
        </w:rPr>
        <w:t>, “[w]hen required by Federal program legislation, all prime construction</w:t>
      </w:r>
      <w:r w:rsidR="002E041A" w:rsidRPr="00D57A3A">
        <w:rPr>
          <w:color w:val="FF0000"/>
        </w:rPr>
        <w:t xml:space="preserve"> contracts in excess of $2,000 awarded by non-Federal entities must </w:t>
      </w:r>
      <w:proofErr w:type="spellStart"/>
      <w:r w:rsidR="002E041A" w:rsidRPr="00D57A3A">
        <w:rPr>
          <w:color w:val="FF0000"/>
        </w:rPr>
        <w:t>included</w:t>
      </w:r>
      <w:proofErr w:type="spellEnd"/>
      <w:r w:rsidR="002E041A" w:rsidRPr="00D57A3A">
        <w:rPr>
          <w:color w:val="FF0000"/>
        </w:rPr>
        <w:t xml:space="preserve"> a provision for compliance with the Davis-Bacon Act (</w:t>
      </w:r>
      <w:hyperlink r:id="rId25" w:history="1">
        <w:r w:rsidR="002E041A" w:rsidRPr="006379B2">
          <w:rPr>
            <w:rStyle w:val="Hyperlink"/>
          </w:rPr>
          <w:t>40 U.S.C. 3141-344</w:t>
        </w:r>
      </w:hyperlink>
      <w:r w:rsidR="002E041A" w:rsidRPr="00D57A3A">
        <w:rPr>
          <w:color w:val="FF0000"/>
        </w:rPr>
        <w:t xml:space="preserve">, and </w:t>
      </w:r>
      <w:hyperlink r:id="rId26" w:history="1">
        <w:r w:rsidR="002E041A" w:rsidRPr="00C23AAE">
          <w:rPr>
            <w:rStyle w:val="Hyperlink"/>
          </w:rPr>
          <w:t>3146-3148</w:t>
        </w:r>
      </w:hyperlink>
      <w:r w:rsidR="002E041A" w:rsidRPr="00D57A3A">
        <w:rPr>
          <w:color w:val="FF0000"/>
        </w:rPr>
        <w:t>), as supplemented by Department of Labor regulations (</w:t>
      </w:r>
      <w:hyperlink r:id="rId27" w:history="1">
        <w:r w:rsidR="002E041A" w:rsidRPr="00B90823">
          <w:rPr>
            <w:rStyle w:val="Hyperlink"/>
          </w:rPr>
          <w:t>29 CFR Part 5, “Labor Standards Provisions Applicable to Contracts Covering Federally Financed and Assisted Construction</w:t>
        </w:r>
      </w:hyperlink>
      <w:r w:rsidR="002E041A" w:rsidRPr="00D57A3A">
        <w:rPr>
          <w:color w:val="FF0000"/>
        </w:rPr>
        <w:t>”).”</w:t>
      </w:r>
      <w:r w:rsidR="00E32F52" w:rsidRPr="00D57A3A">
        <w:rPr>
          <w:color w:val="FF0000"/>
        </w:rPr>
        <w:t xml:space="preserve">  </w:t>
      </w:r>
      <w:r w:rsidR="007C3D4D" w:rsidRPr="00D57A3A">
        <w:rPr>
          <w:color w:val="FF0000"/>
        </w:rPr>
        <w:t xml:space="preserve">This </w:t>
      </w:r>
      <w:r w:rsidR="001411EF" w:rsidRPr="00D57A3A">
        <w:rPr>
          <w:color w:val="FF0000"/>
        </w:rPr>
        <w:t>Addendum</w:t>
      </w:r>
      <w:r w:rsidR="007C3D4D" w:rsidRPr="00D57A3A">
        <w:rPr>
          <w:color w:val="FF0000"/>
        </w:rPr>
        <w:t xml:space="preserve"> does not contain a provision requiring Contractor to comply with the Davis-Bacon Act or its associated regulations.  T</w:t>
      </w:r>
      <w:r w:rsidR="00C733CA" w:rsidRPr="00D57A3A">
        <w:rPr>
          <w:color w:val="FF0000"/>
        </w:rPr>
        <w:t>he Davis-Bacon Act</w:t>
      </w:r>
      <w:r w:rsidR="000B3EB1" w:rsidRPr="00D57A3A">
        <w:rPr>
          <w:color w:val="FF0000"/>
        </w:rPr>
        <w:t xml:space="preserve">, </w:t>
      </w:r>
      <w:r w:rsidR="007C3D4D" w:rsidRPr="00D57A3A">
        <w:rPr>
          <w:color w:val="FF0000"/>
        </w:rPr>
        <w:t>by its own terms</w:t>
      </w:r>
      <w:r w:rsidR="000B3EB1" w:rsidRPr="00D57A3A">
        <w:rPr>
          <w:color w:val="FF0000"/>
        </w:rPr>
        <w:t xml:space="preserve">, applies only to </w:t>
      </w:r>
      <w:r w:rsidR="00F04244" w:rsidRPr="00D57A3A">
        <w:rPr>
          <w:color w:val="FF0000"/>
        </w:rPr>
        <w:t xml:space="preserve">construction contracts to which the United States of America or the District of Columbia is a party.  </w:t>
      </w:r>
      <w:r w:rsidR="00F04244" w:rsidRPr="00D57A3A">
        <w:rPr>
          <w:i/>
          <w:iCs/>
          <w:color w:val="FF0000"/>
        </w:rPr>
        <w:t>See</w:t>
      </w:r>
      <w:r w:rsidR="00F04244" w:rsidRPr="00D57A3A">
        <w:rPr>
          <w:color w:val="FF0000"/>
        </w:rPr>
        <w:t xml:space="preserve"> </w:t>
      </w:r>
      <w:hyperlink r:id="rId28" w:history="1">
        <w:r w:rsidR="00F04244" w:rsidRPr="00A02B37">
          <w:rPr>
            <w:rStyle w:val="Hyperlink"/>
          </w:rPr>
          <w:t>41 U.S.C. § 3142(a)</w:t>
        </w:r>
      </w:hyperlink>
      <w:r w:rsidR="00F04244" w:rsidRPr="00D57A3A">
        <w:rPr>
          <w:color w:val="FF0000"/>
        </w:rPr>
        <w:t xml:space="preserve">. </w:t>
      </w:r>
      <w:r w:rsidR="00A02B37" w:rsidRPr="00D57A3A">
        <w:rPr>
          <w:color w:val="FF0000"/>
        </w:rPr>
        <w:t xml:space="preserve">Congress must </w:t>
      </w:r>
      <w:r w:rsidR="00D34FD4">
        <w:rPr>
          <w:color w:val="FF0000"/>
        </w:rPr>
        <w:t xml:space="preserve">act separately </w:t>
      </w:r>
      <w:r w:rsidR="00A02B37">
        <w:rPr>
          <w:color w:val="FF0000"/>
        </w:rPr>
        <w:t>to extend c</w:t>
      </w:r>
      <w:r w:rsidR="00F04244" w:rsidRPr="00D57A3A">
        <w:rPr>
          <w:color w:val="FF0000"/>
        </w:rPr>
        <w:t xml:space="preserve">overage of the Davis-Bacon Act </w:t>
      </w:r>
      <w:r w:rsidR="00B737D7" w:rsidRPr="00D57A3A">
        <w:rPr>
          <w:color w:val="FF0000"/>
        </w:rPr>
        <w:t>to</w:t>
      </w:r>
      <w:r w:rsidR="00F04244" w:rsidRPr="00D57A3A">
        <w:rPr>
          <w:color w:val="FF0000"/>
        </w:rPr>
        <w:t xml:space="preserve"> </w:t>
      </w:r>
      <w:r w:rsidR="00036746" w:rsidRPr="00D57A3A">
        <w:rPr>
          <w:color w:val="FF0000"/>
        </w:rPr>
        <w:t xml:space="preserve">construction contracts entered into by non-Federal entities receiving Federal financial assistance (e.g., a </w:t>
      </w:r>
      <w:r w:rsidR="00A02B37">
        <w:rPr>
          <w:color w:val="FF0000"/>
        </w:rPr>
        <w:t xml:space="preserve">federal </w:t>
      </w:r>
      <w:r w:rsidR="00036746" w:rsidRPr="00D57A3A">
        <w:rPr>
          <w:color w:val="FF0000"/>
        </w:rPr>
        <w:t>grant or loan</w:t>
      </w:r>
      <w:proofErr w:type="gramStart"/>
      <w:r w:rsidR="00036746" w:rsidRPr="00D57A3A">
        <w:rPr>
          <w:color w:val="FF0000"/>
        </w:rPr>
        <w:t>)</w:t>
      </w:r>
      <w:r w:rsidR="00B737D7" w:rsidRPr="00D57A3A">
        <w:rPr>
          <w:color w:val="FF0000"/>
        </w:rPr>
        <w:t>,</w:t>
      </w:r>
      <w:r w:rsidR="00036746" w:rsidRPr="00D57A3A">
        <w:rPr>
          <w:color w:val="FF0000"/>
        </w:rPr>
        <w:t>.</w:t>
      </w:r>
      <w:proofErr w:type="gramEnd"/>
      <w:r w:rsidR="007C3D4D" w:rsidRPr="00D57A3A">
        <w:rPr>
          <w:color w:val="FF0000"/>
        </w:rPr>
        <w:t xml:space="preserve">  </w:t>
      </w:r>
      <w:r w:rsidR="007C3D4D" w:rsidRPr="00D57A3A">
        <w:rPr>
          <w:i/>
          <w:iCs/>
          <w:color w:val="FF0000"/>
        </w:rPr>
        <w:t xml:space="preserve">See </w:t>
      </w:r>
      <w:hyperlink r:id="rId29" w:anchor="B15b00" w:history="1">
        <w:proofErr w:type="spellStart"/>
        <w:r w:rsidR="00C733CA" w:rsidRPr="00D57A3A">
          <w:rPr>
            <w:rStyle w:val="Hyperlink"/>
            <w:color w:val="FF0000"/>
          </w:rPr>
          <w:t>Dep</w:t>
        </w:r>
        <w:r w:rsidR="004E6936">
          <w:rPr>
            <w:rStyle w:val="Hyperlink"/>
            <w:color w:val="FF0000"/>
          </w:rPr>
          <w:t>’t</w:t>
        </w:r>
        <w:proofErr w:type="spellEnd"/>
        <w:r w:rsidR="00C733CA" w:rsidRPr="00D57A3A">
          <w:rPr>
            <w:rStyle w:val="Hyperlink"/>
            <w:color w:val="FF0000"/>
          </w:rPr>
          <w:t xml:space="preserve"> of Lab</w:t>
        </w:r>
        <w:r w:rsidR="004E6936">
          <w:rPr>
            <w:rStyle w:val="Hyperlink"/>
            <w:color w:val="FF0000"/>
          </w:rPr>
          <w:t>.</w:t>
        </w:r>
        <w:r w:rsidR="00C733CA" w:rsidRPr="00D57A3A">
          <w:rPr>
            <w:rStyle w:val="Hyperlink"/>
            <w:color w:val="FF0000"/>
          </w:rPr>
          <w:t xml:space="preserve"> Field Operations Handbook</w:t>
        </w:r>
        <w:r w:rsidR="007B728C">
          <w:rPr>
            <w:rStyle w:val="Hyperlink"/>
            <w:color w:val="FF0000"/>
          </w:rPr>
          <w:t xml:space="preserve"> (hereinafter DOL Handbook)</w:t>
        </w:r>
        <w:r w:rsidR="00C733CA" w:rsidRPr="00D57A3A">
          <w:rPr>
            <w:rStyle w:val="Hyperlink"/>
            <w:color w:val="FF0000"/>
          </w:rPr>
          <w:t>, § 15b00(a)</w:t>
        </w:r>
      </w:hyperlink>
      <w:r w:rsidR="00C733CA" w:rsidRPr="00D57A3A">
        <w:rPr>
          <w:color w:val="FF0000"/>
        </w:rPr>
        <w:t xml:space="preserve">.  (“[I]f a statute authorizes assistance but does not include either directly or by reference a </w:t>
      </w:r>
      <w:r w:rsidR="001B05AE">
        <w:rPr>
          <w:color w:val="FF0000"/>
        </w:rPr>
        <w:t>[Davis-Bacon Related Act (“DBRA”)]</w:t>
      </w:r>
      <w:r w:rsidR="00C733CA" w:rsidRPr="00D57A3A">
        <w:rPr>
          <w:color w:val="FF0000"/>
        </w:rPr>
        <w:t xml:space="preserve"> labor standards clause, the DBRA does not apply.”). </w:t>
      </w:r>
      <w:r w:rsidR="00A93AB7" w:rsidRPr="00D57A3A">
        <w:rPr>
          <w:color w:val="FF0000"/>
        </w:rPr>
        <w:t xml:space="preserve">Treasury has indicated that Davis-Bacon Act requirements (prevailing wage rates) do not apply to projects funded solely with </w:t>
      </w:r>
      <w:r w:rsidR="00E32F52" w:rsidRPr="00D57A3A">
        <w:rPr>
          <w:color w:val="FF0000"/>
        </w:rPr>
        <w:t>monies distributed</w:t>
      </w:r>
      <w:r w:rsidR="00A93AB7" w:rsidRPr="00D57A3A">
        <w:rPr>
          <w:color w:val="FF0000"/>
        </w:rPr>
        <w:t xml:space="preserve"> from </w:t>
      </w:r>
      <w:r w:rsidR="00E32F52" w:rsidRPr="00D57A3A">
        <w:rPr>
          <w:color w:val="FF0000"/>
        </w:rPr>
        <w:t>the Fiscal Recovery Funds</w:t>
      </w:r>
      <w:r w:rsidR="00A93AB7" w:rsidRPr="00D57A3A">
        <w:rPr>
          <w:color w:val="FF0000"/>
        </w:rPr>
        <w:t xml:space="preserve"> other than those undertaken by the District of Columbia.  </w:t>
      </w:r>
      <w:r w:rsidR="00A93AB7" w:rsidRPr="00D57A3A">
        <w:rPr>
          <w:i/>
          <w:iCs/>
          <w:color w:val="FF0000"/>
        </w:rPr>
        <w:t>See</w:t>
      </w:r>
      <w:r w:rsidR="00CD2EAC" w:rsidRPr="00D57A3A">
        <w:rPr>
          <w:i/>
          <w:iCs/>
          <w:color w:val="FF0000"/>
        </w:rPr>
        <w:t xml:space="preserve"> </w:t>
      </w:r>
      <w:hyperlink r:id="rId30" w:history="1">
        <w:r w:rsidR="00CD2EAC" w:rsidRPr="00D57A3A">
          <w:rPr>
            <w:rStyle w:val="Hyperlink"/>
            <w:color w:val="FF0000"/>
          </w:rPr>
          <w:t xml:space="preserve">U.S. </w:t>
        </w:r>
        <w:proofErr w:type="spellStart"/>
        <w:r w:rsidR="00CD2EAC" w:rsidRPr="00D57A3A">
          <w:rPr>
            <w:rStyle w:val="Hyperlink"/>
            <w:color w:val="FF0000"/>
          </w:rPr>
          <w:t>Dep’t</w:t>
        </w:r>
        <w:proofErr w:type="spellEnd"/>
        <w:r w:rsidR="00CD2EAC" w:rsidRPr="00D57A3A">
          <w:rPr>
            <w:rStyle w:val="Hyperlink"/>
            <w:color w:val="FF0000"/>
          </w:rPr>
          <w:t xml:space="preserve"> of the Treasury, Coronavirus State and Local Fiscal Recovery Funds Interim Final Rule: Frequently Asked Questions </w:t>
        </w:r>
        <w:r w:rsidR="000009C3" w:rsidRPr="00D57A3A">
          <w:rPr>
            <w:rStyle w:val="Hyperlink"/>
            <w:color w:val="FF0000"/>
          </w:rPr>
          <w:t>a</w:t>
        </w:r>
        <w:r w:rsidR="00CD2EAC" w:rsidRPr="00D57A3A">
          <w:rPr>
            <w:rStyle w:val="Hyperlink"/>
            <w:color w:val="FF0000"/>
          </w:rPr>
          <w:t xml:space="preserve">s of January 2022, § </w:t>
        </w:r>
        <w:r w:rsidR="00A93AB7" w:rsidRPr="00D57A3A">
          <w:rPr>
            <w:rStyle w:val="Hyperlink"/>
            <w:color w:val="FF0000"/>
          </w:rPr>
          <w:t>6.17</w:t>
        </w:r>
      </w:hyperlink>
      <w:r w:rsidR="007E6F91">
        <w:rPr>
          <w:rStyle w:val="Hyperlink"/>
          <w:color w:val="FF0000"/>
        </w:rPr>
        <w:t xml:space="preserve"> (hereinafter FAQs”</w:t>
      </w:r>
      <w:r w:rsidR="007D01EA">
        <w:rPr>
          <w:rStyle w:val="Hyperlink"/>
          <w:color w:val="FF0000"/>
        </w:rPr>
        <w:t>)</w:t>
      </w:r>
      <w:r w:rsidR="00A54E09">
        <w:rPr>
          <w:rStyle w:val="Hyperlink"/>
          <w:color w:val="FF0000"/>
        </w:rPr>
        <w:t xml:space="preserve">; </w:t>
      </w:r>
      <w:hyperlink r:id="rId31" w:history="1">
        <w:r w:rsidR="00D34FD4" w:rsidRPr="00424791">
          <w:rPr>
            <w:rStyle w:val="Hyperlink"/>
            <w:color w:val="auto"/>
          </w:rPr>
          <w:t>Coronavirus State and Local Fiscal Recovery Funds, 87 Fed. Reg. 4,338, 4,</w:t>
        </w:r>
        <w:r w:rsidR="00D34FD4">
          <w:rPr>
            <w:rStyle w:val="Hyperlink"/>
            <w:color w:val="auto"/>
          </w:rPr>
          <w:t>431</w:t>
        </w:r>
        <w:r w:rsidR="00D34FD4" w:rsidRPr="00424791">
          <w:rPr>
            <w:rStyle w:val="Hyperlink"/>
            <w:color w:val="auto"/>
          </w:rPr>
          <w:t xml:space="preserve"> (Jan. 27, 2022)</w:t>
        </w:r>
      </w:hyperlink>
      <w:r w:rsidR="00D34FD4">
        <w:rPr>
          <w:rStyle w:val="Hyperlink"/>
          <w:color w:val="auto"/>
        </w:rPr>
        <w:t xml:space="preserve"> (hereinafter Final Rule)</w:t>
      </w:r>
      <w:r w:rsidR="00D34FD4" w:rsidRPr="00424791">
        <w:t xml:space="preserve"> </w:t>
      </w:r>
      <w:r w:rsidR="00A54E09">
        <w:rPr>
          <w:rStyle w:val="Hyperlink"/>
          <w:color w:val="FF0000"/>
        </w:rPr>
        <w:t xml:space="preserve">(noting that </w:t>
      </w:r>
      <w:r w:rsidR="001D523C">
        <w:rPr>
          <w:rStyle w:val="Hyperlink"/>
          <w:color w:val="FF0000"/>
        </w:rPr>
        <w:t>despite a</w:t>
      </w:r>
      <w:r w:rsidR="00A54E09">
        <w:rPr>
          <w:rStyle w:val="Hyperlink"/>
          <w:color w:val="FF0000"/>
        </w:rPr>
        <w:t xml:space="preserve"> general requirement to “comply with</w:t>
      </w:r>
      <w:r w:rsidR="001D523C">
        <w:rPr>
          <w:rStyle w:val="Hyperlink"/>
          <w:color w:val="FF0000"/>
        </w:rPr>
        <w:t xml:space="preserve"> . . . federal, state, and local background laws, including environmental laws</w:t>
      </w:r>
      <w:r w:rsidR="00CB59B2">
        <w:rPr>
          <w:rStyle w:val="Hyperlink"/>
          <w:color w:val="FF0000"/>
        </w:rPr>
        <w:t xml:space="preserve">”, certain statutes will not apply “unless explicitly stated, including, </w:t>
      </w:r>
      <w:r w:rsidR="00CB59B2">
        <w:rPr>
          <w:rStyle w:val="Hyperlink"/>
          <w:i/>
          <w:iCs/>
          <w:color w:val="FF0000"/>
        </w:rPr>
        <w:t>e.g.</w:t>
      </w:r>
      <w:r w:rsidR="00CB59B2">
        <w:rPr>
          <w:rStyle w:val="Hyperlink"/>
          <w:color w:val="FF0000"/>
        </w:rPr>
        <w:t>, . . . the Davis-Bacon Act”)</w:t>
      </w:r>
      <w:r w:rsidR="00A93AB7" w:rsidRPr="00D57A3A">
        <w:rPr>
          <w:color w:val="FF0000"/>
        </w:rPr>
        <w:t xml:space="preserve">.  </w:t>
      </w:r>
      <w:r w:rsidR="00D34FD4">
        <w:rPr>
          <w:color w:val="FF0000"/>
        </w:rPr>
        <w:t>Treasury’s response in the FAQs and the Final Rule</w:t>
      </w:r>
      <w:r w:rsidR="00A93AB7" w:rsidRPr="00D57A3A">
        <w:rPr>
          <w:color w:val="FF0000"/>
        </w:rPr>
        <w:t xml:space="preserve"> is consistent with </w:t>
      </w:r>
      <w:r w:rsidR="000009C3" w:rsidRPr="00D57A3A">
        <w:rPr>
          <w:color w:val="FF0000"/>
        </w:rPr>
        <w:t>ARPA’s text</w:t>
      </w:r>
      <w:r w:rsidR="00A93AB7" w:rsidRPr="00D57A3A">
        <w:rPr>
          <w:color w:val="FF0000"/>
        </w:rPr>
        <w:t xml:space="preserve">, as the </w:t>
      </w:r>
      <w:r w:rsidR="000009C3" w:rsidRPr="00D57A3A">
        <w:rPr>
          <w:color w:val="FF0000"/>
        </w:rPr>
        <w:t>statute</w:t>
      </w:r>
      <w:r w:rsidR="00A93AB7" w:rsidRPr="00D57A3A">
        <w:rPr>
          <w:color w:val="FF0000"/>
        </w:rPr>
        <w:t xml:space="preserve"> does not expressly or indirectly require Fiscal Recovery Fund recipients or subrecipients to abide by the Davis-Bacon Act.  </w:t>
      </w:r>
      <w:r w:rsidR="007A6E1C" w:rsidRPr="00D57A3A">
        <w:rPr>
          <w:i/>
          <w:iCs/>
          <w:color w:val="FF0000"/>
        </w:rPr>
        <w:t xml:space="preserve">Compare </w:t>
      </w:r>
      <w:r w:rsidR="00A93AB7" w:rsidRPr="00D57A3A">
        <w:rPr>
          <w:color w:val="FF0000"/>
        </w:rPr>
        <w:t xml:space="preserve">Pub. L. No. 117-2 </w:t>
      </w:r>
      <w:r w:rsidR="00A93AB7" w:rsidRPr="00D57A3A">
        <w:rPr>
          <w:i/>
          <w:iCs/>
          <w:color w:val="FF0000"/>
        </w:rPr>
        <w:t xml:space="preserve">with </w:t>
      </w:r>
      <w:hyperlink r:id="rId32" w:history="1">
        <w:r w:rsidR="00A93AB7" w:rsidRPr="00D57A3A">
          <w:rPr>
            <w:rStyle w:val="Hyperlink"/>
            <w:color w:val="FF0000"/>
          </w:rPr>
          <w:t>American Reinvestment and Recovery Act of 2009, Pub. L. No. 11</w:t>
        </w:r>
        <w:r w:rsidR="008720F3" w:rsidRPr="00D57A3A">
          <w:rPr>
            <w:rStyle w:val="Hyperlink"/>
            <w:color w:val="FF0000"/>
          </w:rPr>
          <w:t>1-5</w:t>
        </w:r>
        <w:r w:rsidR="00A93AB7" w:rsidRPr="00D57A3A">
          <w:rPr>
            <w:rStyle w:val="Hyperlink"/>
            <w:color w:val="FF0000"/>
          </w:rPr>
          <w:t>, Div. A, § 1606</w:t>
        </w:r>
      </w:hyperlink>
      <w:r w:rsidR="00A93AB7" w:rsidRPr="00D57A3A">
        <w:rPr>
          <w:color w:val="FF0000"/>
        </w:rPr>
        <w:t xml:space="preserve"> (“Notwithstanding any other provision of law . . . , all laborers and mechanics employed by contractors or subcontractors on projects funded directly by or assisted in whole or in part by and through the Federal Government pursuant to this Act shall be paid wages at rates not less than those prevailing on projects of a character similar in the locality as determined by the Secretary of Labor in accordance with subchapter IV of chapter 31 of title 40, United States Code.”)</w:t>
      </w:r>
      <w:r w:rsidR="00C733CA" w:rsidRPr="00D57A3A">
        <w:rPr>
          <w:color w:val="FF0000"/>
        </w:rPr>
        <w:t xml:space="preserve">.  </w:t>
      </w:r>
      <w:r w:rsidR="00A93AB7" w:rsidRPr="00D57A3A">
        <w:rPr>
          <w:color w:val="FF0000"/>
        </w:rPr>
        <w:t>If</w:t>
      </w:r>
      <w:r w:rsidR="007B728C">
        <w:rPr>
          <w:color w:val="FF0000"/>
        </w:rPr>
        <w:t xml:space="preserve"> a</w:t>
      </w:r>
      <w:r w:rsidR="00A93AB7" w:rsidRPr="00D57A3A">
        <w:rPr>
          <w:color w:val="FF0000"/>
        </w:rPr>
        <w:t xml:space="preserve"> </w:t>
      </w:r>
      <w:r w:rsidR="007B728C">
        <w:rPr>
          <w:color w:val="FF0000"/>
        </w:rPr>
        <w:t>unit</w:t>
      </w:r>
      <w:r w:rsidR="00A93AB7" w:rsidRPr="00D57A3A">
        <w:rPr>
          <w:color w:val="FF0000"/>
        </w:rPr>
        <w:t xml:space="preserve"> uses Federal financial assistance other than monies distributed from the Fiscal Recovery Funds to pay for the cost of the Contract, the Davis-Bacon Act may apply.  </w:t>
      </w:r>
      <w:r w:rsidR="00A93AB7" w:rsidRPr="00D57A3A">
        <w:rPr>
          <w:i/>
          <w:iCs/>
          <w:color w:val="FF0000"/>
        </w:rPr>
        <w:t>See</w:t>
      </w:r>
      <w:r w:rsidR="007E6F91">
        <w:rPr>
          <w:i/>
          <w:iCs/>
          <w:color w:val="FF0000"/>
        </w:rPr>
        <w:t xml:space="preserve"> </w:t>
      </w:r>
      <w:r w:rsidR="007E6F91">
        <w:rPr>
          <w:color w:val="FF0000"/>
        </w:rPr>
        <w:t>FAQs § 6.17;</w:t>
      </w:r>
      <w:r w:rsidR="001E7A62">
        <w:rPr>
          <w:color w:val="FF0000"/>
        </w:rPr>
        <w:t xml:space="preserve"> </w:t>
      </w:r>
      <w:r w:rsidR="001E7A62">
        <w:rPr>
          <w:i/>
          <w:iCs/>
          <w:color w:val="FF0000"/>
        </w:rPr>
        <w:t>see also</w:t>
      </w:r>
      <w:r w:rsidR="00A93AB7" w:rsidRPr="00D57A3A">
        <w:rPr>
          <w:color w:val="FF0000"/>
        </w:rPr>
        <w:t xml:space="preserve"> </w:t>
      </w:r>
      <w:r w:rsidR="007B728C">
        <w:rPr>
          <w:color w:val="FF0000"/>
        </w:rPr>
        <w:t>DOL Handbook</w:t>
      </w:r>
      <w:r w:rsidR="007A6E1C" w:rsidRPr="00D57A3A">
        <w:rPr>
          <w:color w:val="FF0000"/>
        </w:rPr>
        <w:t>,</w:t>
      </w:r>
      <w:r w:rsidR="007A6E1C" w:rsidRPr="00D57A3A">
        <w:rPr>
          <w:i/>
          <w:iCs/>
          <w:color w:val="FF0000"/>
        </w:rPr>
        <w:t xml:space="preserve"> </w:t>
      </w:r>
      <w:r w:rsidR="00A93AB7" w:rsidRPr="00D57A3A">
        <w:rPr>
          <w:color w:val="FF0000"/>
        </w:rPr>
        <w:t xml:space="preserve">§ 15b00(b) (“In situations where a product is funded under a number of federal statutes, DBRA applies to the project if any one of the statutes authorizing a portion of the financial assistance requires payment of DBA wages.”).  </w:t>
      </w:r>
    </w:p>
  </w:footnote>
  <w:footnote w:id="27">
    <w:p w14:paraId="4AEE9595" w14:textId="007ACEB2" w:rsidR="00A724BB" w:rsidRPr="00D57A3A" w:rsidRDefault="00A724BB"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1E7A62">
        <w:rPr>
          <w:color w:val="FF0000"/>
          <w:u w:val="single"/>
        </w:rPr>
        <w:t>Section III</w:t>
      </w:r>
      <w:r w:rsidR="00A073F1" w:rsidRPr="00D57A3A">
        <w:rPr>
          <w:color w:val="FF0000"/>
        </w:rPr>
        <w:t xml:space="preserve"> satisfies the requirements of Appendix II, § (D) relating to the Copeland “Anti-Kickback” Act.  Section III</w:t>
      </w:r>
      <w:r w:rsidRPr="00D57A3A">
        <w:rPr>
          <w:color w:val="FF0000"/>
        </w:rPr>
        <w:t xml:space="preserve"> requires Contractor and any Subcontractors to comply with the core provision of the Copeland Anti-Kickback Act, which criminalizes “</w:t>
      </w:r>
      <w:proofErr w:type="spellStart"/>
      <w:r w:rsidRPr="00D57A3A">
        <w:rPr>
          <w:color w:val="FF0000"/>
        </w:rPr>
        <w:t>induc</w:t>
      </w:r>
      <w:proofErr w:type="spellEnd"/>
      <w:r w:rsidRPr="00D57A3A">
        <w:rPr>
          <w:color w:val="FF0000"/>
        </w:rPr>
        <w:t>[</w:t>
      </w:r>
      <w:proofErr w:type="spellStart"/>
      <w:r w:rsidRPr="00D57A3A">
        <w:rPr>
          <w:color w:val="FF0000"/>
        </w:rPr>
        <w:t>ing</w:t>
      </w:r>
      <w:proofErr w:type="spellEnd"/>
      <w:r w:rsidRPr="00D57A3A">
        <w:rPr>
          <w:color w:val="FF0000"/>
        </w:rPr>
        <w:t xml:space="preserve">] any person employed in the construction, prosecution, completion or repair of any public building, public work, or building or work financed in whole in part by . . . grants from the United States, to give up any part of the compensation to which he is entitled under his contract of employment.”  </w:t>
      </w:r>
      <w:hyperlink r:id="rId33" w:history="1">
        <w:r w:rsidRPr="00D57A3A">
          <w:rPr>
            <w:rStyle w:val="Hyperlink"/>
            <w:color w:val="FF0000"/>
          </w:rPr>
          <w:t>18 U.S.C. § 874</w:t>
        </w:r>
      </w:hyperlink>
      <w:r w:rsidRPr="00D57A3A">
        <w:rPr>
          <w:color w:val="FF0000"/>
        </w:rPr>
        <w:t xml:space="preserve">.  Section III does not require the Contractor to comply with weekly payroll reporting requirements pursuant to </w:t>
      </w:r>
      <w:hyperlink r:id="rId34" w:history="1">
        <w:r w:rsidRPr="00D57A3A">
          <w:rPr>
            <w:rStyle w:val="Hyperlink"/>
            <w:color w:val="FF0000"/>
          </w:rPr>
          <w:t>41 U.S.C. § 3145</w:t>
        </w:r>
      </w:hyperlink>
      <w:r w:rsidRPr="00D57A3A">
        <w:rPr>
          <w:color w:val="FF0000"/>
        </w:rPr>
        <w:t xml:space="preserve"> and </w:t>
      </w:r>
      <w:hyperlink r:id="rId35" w:history="1">
        <w:r w:rsidRPr="00D57A3A">
          <w:rPr>
            <w:rStyle w:val="Hyperlink"/>
            <w:color w:val="FF0000"/>
          </w:rPr>
          <w:t>29 C.F.R. Part 3</w:t>
        </w:r>
      </w:hyperlink>
      <w:r w:rsidRPr="00D57A3A">
        <w:rPr>
          <w:color w:val="FF0000"/>
        </w:rPr>
        <w:t>.  29 C.F.R. Part 3 applies to “</w:t>
      </w:r>
      <w:r w:rsidRPr="00D57A3A">
        <w:rPr>
          <w:i/>
          <w:iCs/>
          <w:color w:val="FF0000"/>
        </w:rPr>
        <w:t>any contract which is subject to Federal wage standards</w:t>
      </w:r>
      <w:r w:rsidRPr="00D57A3A">
        <w:rPr>
          <w:color w:val="FF0000"/>
        </w:rPr>
        <w:t xml:space="preserve"> and . . . is for the construction, prosecution, completion, or repair of public buildings, public works or buildings </w:t>
      </w:r>
      <w:r w:rsidRPr="00B55B3E">
        <w:rPr>
          <w:color w:val="FF0000"/>
        </w:rPr>
        <w:t xml:space="preserve">or works financed in whole or in part by loans or grants from the United States.”  </w:t>
      </w:r>
      <w:hyperlink r:id="rId36" w:history="1">
        <w:r w:rsidRPr="00FC34E4">
          <w:rPr>
            <w:rStyle w:val="Hyperlink"/>
          </w:rPr>
          <w:t>29 C.F.R. § 3.1(a)</w:t>
        </w:r>
      </w:hyperlink>
      <w:r w:rsidRPr="00B55B3E">
        <w:rPr>
          <w:color w:val="FF0000"/>
        </w:rPr>
        <w:t xml:space="preserve"> (emphasis added).  The term “Federal wage standards” likely applies to prevailing wage standards established by the Davis-Bacon Act.  </w:t>
      </w:r>
      <w:r w:rsidRPr="00B55B3E">
        <w:rPr>
          <w:i/>
          <w:iCs/>
          <w:color w:val="FF0000"/>
        </w:rPr>
        <w:t>See</w:t>
      </w:r>
      <w:r w:rsidRPr="00B55B3E">
        <w:rPr>
          <w:color w:val="FF0000"/>
        </w:rPr>
        <w:t xml:space="preserve"> </w:t>
      </w:r>
      <w:hyperlink r:id="rId37" w:anchor="B15a04" w:history="1">
        <w:r w:rsidRPr="00B55B3E">
          <w:rPr>
            <w:rStyle w:val="Hyperlink"/>
            <w:color w:val="FF0000"/>
          </w:rPr>
          <w:t>D</w:t>
        </w:r>
        <w:r w:rsidR="00FC34E4">
          <w:rPr>
            <w:rStyle w:val="Hyperlink"/>
            <w:color w:val="FF0000"/>
          </w:rPr>
          <w:t xml:space="preserve">OL </w:t>
        </w:r>
        <w:r w:rsidRPr="00B55B3E">
          <w:rPr>
            <w:rStyle w:val="Hyperlink"/>
            <w:color w:val="FF0000"/>
          </w:rPr>
          <w:t>Handbook, § 15a04(d)</w:t>
        </w:r>
      </w:hyperlink>
      <w:r w:rsidRPr="00B55B3E">
        <w:rPr>
          <w:color w:val="FF0000"/>
        </w:rPr>
        <w:t xml:space="preserve"> (noting that the “Anti-Kickback” provision applies to any federally-funded or assisted contract except contracts for which the only assistance is a loan guarantee” and that “29 CFR 3 . . . applies only to payroll deductions made under contracts subject to federal wage standards”).  The Federal</w:t>
      </w:r>
      <w:r w:rsidRPr="00D57A3A">
        <w:rPr>
          <w:color w:val="FF0000"/>
        </w:rPr>
        <w:t xml:space="preserve"> Emergency Management Agency (“FEMA”) also notes that “[w]here the Davis-Bacon Act does not apply, neither does the Copeland ‘Anti-Kickback’ Act.”  </w:t>
      </w:r>
      <w:r w:rsidR="00472D20">
        <w:rPr>
          <w:color w:val="FF0000"/>
        </w:rPr>
        <w:t xml:space="preserve">Federal Emergency Management Agency, </w:t>
      </w:r>
      <w:hyperlink r:id="rId38" w:history="1">
        <w:r w:rsidRPr="00D57A3A">
          <w:rPr>
            <w:rStyle w:val="Hyperlink"/>
            <w:color w:val="FF0000"/>
          </w:rPr>
          <w:t>FEMA Contract Provisions Guide, Navigating Appendix II to Part 200—Contract Provisions for Non-Federal Entity Contracts Under Federal Awards (June 2021)</w:t>
        </w:r>
      </w:hyperlink>
      <w:r w:rsidR="00B353EE">
        <w:rPr>
          <w:rStyle w:val="Hyperlink"/>
          <w:color w:val="FF0000"/>
        </w:rPr>
        <w:t xml:space="preserve"> (hereinafter FEMA Contract Guide)</w:t>
      </w:r>
      <w:r w:rsidRPr="00D57A3A">
        <w:rPr>
          <w:color w:val="FF0000"/>
        </w:rPr>
        <w:t>, 15.  While FEMA provides no support for this statement, 29 C.F.R. § 3.1(a) can be read to limit the application of 29 C.F.R. Part 3 to contracts subject to prevailing wage standards under the Davis-Bacon Act.</w:t>
      </w:r>
    </w:p>
  </w:footnote>
  <w:footnote w:id="28">
    <w:p w14:paraId="45888D6F" w14:textId="577C92FA" w:rsidR="00902BC1" w:rsidRPr="00D57A3A" w:rsidRDefault="00902BC1" w:rsidP="0087745C">
      <w:pPr>
        <w:pStyle w:val="FootnoteText"/>
        <w:jc w:val="both"/>
        <w:rPr>
          <w:color w:val="FF0000"/>
        </w:rPr>
      </w:pPr>
      <w:r w:rsidRPr="00D57A3A">
        <w:rPr>
          <w:rStyle w:val="FootnoteReference"/>
          <w:color w:val="FF0000"/>
        </w:rPr>
        <w:footnoteRef/>
      </w:r>
      <w:r w:rsidRPr="00D57A3A">
        <w:rPr>
          <w:color w:val="FF0000"/>
        </w:rPr>
        <w:t xml:space="preserve"> </w:t>
      </w:r>
      <w:r w:rsidR="00C82F1B" w:rsidRPr="00D57A3A">
        <w:rPr>
          <w:b/>
          <w:bCs/>
          <w:color w:val="FF0000"/>
          <w:u w:val="single"/>
        </w:rPr>
        <w:t>Note to Draf</w:t>
      </w:r>
      <w:r w:rsidR="00BE2E8A" w:rsidRPr="00D57A3A">
        <w:rPr>
          <w:b/>
          <w:bCs/>
          <w:color w:val="FF0000"/>
          <w:u w:val="single"/>
        </w:rPr>
        <w:t>t:</w:t>
      </w:r>
      <w:r w:rsidR="00BE2E8A" w:rsidRPr="00D57A3A">
        <w:rPr>
          <w:color w:val="FF0000"/>
        </w:rPr>
        <w:t xml:space="preserve">  </w:t>
      </w:r>
      <w:r w:rsidR="00A7031B" w:rsidRPr="00D57A3A">
        <w:rPr>
          <w:color w:val="FF0000"/>
        </w:rPr>
        <w:t xml:space="preserve">Treasury </w:t>
      </w:r>
      <w:r w:rsidR="00C0421A" w:rsidRPr="00D57A3A">
        <w:rPr>
          <w:color w:val="FF0000"/>
        </w:rPr>
        <w:t xml:space="preserve">stated in </w:t>
      </w:r>
      <w:r w:rsidR="004A60CA">
        <w:rPr>
          <w:color w:val="FF0000"/>
        </w:rPr>
        <w:t>the</w:t>
      </w:r>
      <w:r w:rsidR="00C0421A" w:rsidRPr="00D57A3A">
        <w:rPr>
          <w:color w:val="FF0000"/>
        </w:rPr>
        <w:t xml:space="preserve"> Final Rule that</w:t>
      </w:r>
      <w:r w:rsidR="00A7031B" w:rsidRPr="00D57A3A">
        <w:rPr>
          <w:color w:val="FF0000"/>
        </w:rPr>
        <w:t xml:space="preserve"> a </w:t>
      </w:r>
      <w:r w:rsidR="00BE2E8A" w:rsidRPr="00D57A3A">
        <w:rPr>
          <w:color w:val="FF0000"/>
        </w:rPr>
        <w:t>contract in excess of $100,000 supported by Fiscal Recovery Funds that involves</w:t>
      </w:r>
      <w:r w:rsidR="009701CB" w:rsidRPr="00D57A3A">
        <w:rPr>
          <w:color w:val="FF0000"/>
        </w:rPr>
        <w:t xml:space="preserve"> the </w:t>
      </w:r>
      <w:r w:rsidR="000C210C" w:rsidRPr="00D57A3A">
        <w:rPr>
          <w:color w:val="FF0000"/>
        </w:rPr>
        <w:t>employment of mechanics and laborers</w:t>
      </w:r>
      <w:r w:rsidR="00D32F0E" w:rsidRPr="00D57A3A">
        <w:rPr>
          <w:color w:val="FF0000"/>
        </w:rPr>
        <w:t xml:space="preserve"> </w:t>
      </w:r>
      <w:r w:rsidR="00492A9B" w:rsidRPr="00D57A3A">
        <w:rPr>
          <w:color w:val="FF0000"/>
        </w:rPr>
        <w:t>“</w:t>
      </w:r>
      <w:r w:rsidR="00BE2E8A" w:rsidRPr="00D57A3A">
        <w:rPr>
          <w:color w:val="FF0000"/>
        </w:rPr>
        <w:t xml:space="preserve">must </w:t>
      </w:r>
      <w:r w:rsidR="00A7031B" w:rsidRPr="00D57A3A">
        <w:rPr>
          <w:color w:val="FF0000"/>
        </w:rPr>
        <w:t xml:space="preserve">include a provision for compliance with </w:t>
      </w:r>
      <w:r w:rsidR="001E7D87" w:rsidRPr="00D57A3A">
        <w:rPr>
          <w:color w:val="FF0000"/>
        </w:rPr>
        <w:t xml:space="preserve">certain provisions of the </w:t>
      </w:r>
      <w:hyperlink r:id="rId39" w:history="1">
        <w:r w:rsidR="001E7D87" w:rsidRPr="00C75442">
          <w:rPr>
            <w:rStyle w:val="Hyperlink"/>
          </w:rPr>
          <w:t xml:space="preserve">Contract Work Hours and Safety Standards Act, 40 U.S.C. </w:t>
        </w:r>
        <w:r w:rsidR="00F03C6B" w:rsidRPr="00C75442">
          <w:rPr>
            <w:rStyle w:val="Hyperlink"/>
          </w:rPr>
          <w:t>3702 and 3704</w:t>
        </w:r>
      </w:hyperlink>
      <w:r w:rsidR="00F03C6B" w:rsidRPr="00D57A3A">
        <w:rPr>
          <w:color w:val="FF0000"/>
        </w:rPr>
        <w:t>, as supplemented by Department of Labor regulations (</w:t>
      </w:r>
      <w:hyperlink r:id="rId40" w:history="1">
        <w:r w:rsidR="00F03C6B" w:rsidRPr="00BE1A57">
          <w:rPr>
            <w:rStyle w:val="Hyperlink"/>
          </w:rPr>
          <w:t>29 CFR Part 5</w:t>
        </w:r>
      </w:hyperlink>
      <w:r w:rsidR="00F03C6B" w:rsidRPr="00D57A3A">
        <w:rPr>
          <w:color w:val="FF0000"/>
        </w:rPr>
        <w:t>).</w:t>
      </w:r>
      <w:r w:rsidR="00492A9B" w:rsidRPr="00D57A3A">
        <w:rPr>
          <w:color w:val="FF0000"/>
        </w:rPr>
        <w:t>”</w:t>
      </w:r>
      <w:r w:rsidR="005035CC">
        <w:rPr>
          <w:color w:val="FF0000"/>
        </w:rPr>
        <w:t xml:space="preserve"> </w:t>
      </w:r>
      <w:hyperlink r:id="rId41" w:history="1">
        <w:r w:rsidR="000417F1">
          <w:rPr>
            <w:rStyle w:val="Hyperlink"/>
            <w:color w:val="FF0000"/>
          </w:rPr>
          <w:t xml:space="preserve"> Final Rule at </w:t>
        </w:r>
        <w:r w:rsidR="005035CC" w:rsidRPr="00D57A3A">
          <w:rPr>
            <w:rStyle w:val="Hyperlink"/>
            <w:color w:val="FF0000"/>
          </w:rPr>
          <w:t>4,3</w:t>
        </w:r>
        <w:r w:rsidR="005035CC">
          <w:rPr>
            <w:rStyle w:val="Hyperlink"/>
            <w:color w:val="FF0000"/>
          </w:rPr>
          <w:t>93</w:t>
        </w:r>
        <w:r w:rsidR="00AF744E">
          <w:rPr>
            <w:rStyle w:val="Hyperlink"/>
            <w:color w:val="FF0000"/>
          </w:rPr>
          <w:t xml:space="preserve"> </w:t>
        </w:r>
        <w:r w:rsidR="00AF744E" w:rsidRPr="00D57A3A">
          <w:rPr>
            <w:color w:val="FF0000"/>
          </w:rPr>
          <w:t>(</w:t>
        </w:r>
        <w:r w:rsidR="00AF744E">
          <w:rPr>
            <w:color w:val="FF0000"/>
          </w:rPr>
          <w:t xml:space="preserve">general </w:t>
        </w:r>
        <w:r w:rsidR="00AF744E" w:rsidRPr="00D57A3A">
          <w:rPr>
            <w:color w:val="FF0000"/>
          </w:rPr>
          <w:t>capital expenditures)</w:t>
        </w:r>
        <w:r w:rsidR="005035CC">
          <w:rPr>
            <w:rStyle w:val="Hyperlink"/>
            <w:color w:val="FF0000"/>
          </w:rPr>
          <w:t xml:space="preserve">, </w:t>
        </w:r>
        <w:r w:rsidR="00AF744E">
          <w:rPr>
            <w:rStyle w:val="Hyperlink"/>
            <w:color w:val="FF0000"/>
          </w:rPr>
          <w:t>4,409</w:t>
        </w:r>
        <w:r w:rsidR="005035CC" w:rsidRPr="00D57A3A">
          <w:rPr>
            <w:rStyle w:val="Hyperlink"/>
            <w:color w:val="FF0000"/>
          </w:rPr>
          <w:t xml:space="preserve"> </w:t>
        </w:r>
        <w:r w:rsidR="00AF744E" w:rsidRPr="00D57A3A">
          <w:rPr>
            <w:color w:val="FF0000"/>
          </w:rPr>
          <w:t>(water, sewer, or broadband infrastructure)</w:t>
        </w:r>
        <w:r w:rsidR="00AF744E" w:rsidRPr="00D57A3A">
          <w:rPr>
            <w:rStyle w:val="Hyperlink"/>
            <w:color w:val="FF0000"/>
          </w:rPr>
          <w:t xml:space="preserve"> </w:t>
        </w:r>
      </w:hyperlink>
      <w:r w:rsidR="00AF744E">
        <w:rPr>
          <w:color w:val="FF0000"/>
        </w:rPr>
        <w:t>.</w:t>
      </w:r>
      <w:r w:rsidR="00232D73" w:rsidRPr="00D57A3A">
        <w:rPr>
          <w:color w:val="FF0000"/>
        </w:rPr>
        <w:t xml:space="preserve"> </w:t>
      </w:r>
      <w:r w:rsidR="00FA451C" w:rsidRPr="00D57A3A">
        <w:rPr>
          <w:color w:val="FF0000"/>
        </w:rPr>
        <w:t>The</w:t>
      </w:r>
      <w:r w:rsidR="002A171B" w:rsidRPr="00D57A3A">
        <w:rPr>
          <w:color w:val="FF0000"/>
        </w:rPr>
        <w:t xml:space="preserve"> legal</w:t>
      </w:r>
      <w:r w:rsidR="00FA451C" w:rsidRPr="00D57A3A">
        <w:rPr>
          <w:color w:val="FF0000"/>
        </w:rPr>
        <w:t xml:space="preserve"> basis </w:t>
      </w:r>
      <w:r w:rsidR="002A171B" w:rsidRPr="00D57A3A">
        <w:rPr>
          <w:color w:val="FF0000"/>
        </w:rPr>
        <w:t>for</w:t>
      </w:r>
      <w:r w:rsidR="00FA451C" w:rsidRPr="00D57A3A">
        <w:rPr>
          <w:color w:val="FF0000"/>
        </w:rPr>
        <w:t xml:space="preserve"> Treasury</w:t>
      </w:r>
      <w:r w:rsidR="00492A9B" w:rsidRPr="00D57A3A">
        <w:rPr>
          <w:color w:val="FF0000"/>
        </w:rPr>
        <w:t>’</w:t>
      </w:r>
      <w:r w:rsidR="00FA451C" w:rsidRPr="00D57A3A">
        <w:rPr>
          <w:color w:val="FF0000"/>
        </w:rPr>
        <w:t xml:space="preserve">s application </w:t>
      </w:r>
      <w:r w:rsidR="00243AD0" w:rsidRPr="00D57A3A">
        <w:rPr>
          <w:color w:val="FF0000"/>
        </w:rPr>
        <w:t>of the Contract Work Hours and Safety Standards Act (</w:t>
      </w:r>
      <w:r w:rsidR="00492A9B" w:rsidRPr="00D57A3A">
        <w:rPr>
          <w:color w:val="FF0000"/>
        </w:rPr>
        <w:t>“</w:t>
      </w:r>
      <w:r w:rsidR="00243AD0" w:rsidRPr="00D57A3A">
        <w:rPr>
          <w:color w:val="FF0000"/>
        </w:rPr>
        <w:t>CWHSSA</w:t>
      </w:r>
      <w:r w:rsidR="00492A9B" w:rsidRPr="00D57A3A">
        <w:rPr>
          <w:color w:val="FF0000"/>
        </w:rPr>
        <w:t>”</w:t>
      </w:r>
      <w:r w:rsidR="00243AD0" w:rsidRPr="00D57A3A">
        <w:rPr>
          <w:color w:val="FF0000"/>
        </w:rPr>
        <w:t>)</w:t>
      </w:r>
      <w:r w:rsidR="00171100" w:rsidRPr="00D57A3A">
        <w:rPr>
          <w:color w:val="FF0000"/>
        </w:rPr>
        <w:t xml:space="preserve"> to a recipient</w:t>
      </w:r>
      <w:r w:rsidR="00492A9B" w:rsidRPr="00D57A3A">
        <w:rPr>
          <w:color w:val="FF0000"/>
        </w:rPr>
        <w:t>’</w:t>
      </w:r>
      <w:r w:rsidR="00171100" w:rsidRPr="00D57A3A">
        <w:rPr>
          <w:color w:val="FF0000"/>
        </w:rPr>
        <w:t xml:space="preserve">s expenditure of </w:t>
      </w:r>
      <w:r w:rsidR="002602D8">
        <w:rPr>
          <w:color w:val="FF0000"/>
        </w:rPr>
        <w:t>Fiscal Recovery Funds</w:t>
      </w:r>
      <w:r w:rsidR="00243AD0" w:rsidRPr="00D57A3A">
        <w:rPr>
          <w:color w:val="FF0000"/>
        </w:rPr>
        <w:t xml:space="preserve"> is not clear</w:t>
      </w:r>
      <w:r w:rsidR="00FA451C" w:rsidRPr="00D57A3A">
        <w:rPr>
          <w:color w:val="FF0000"/>
        </w:rPr>
        <w:t>.</w:t>
      </w:r>
      <w:r w:rsidR="00171100" w:rsidRPr="00D57A3A">
        <w:rPr>
          <w:color w:val="FF0000"/>
        </w:rPr>
        <w:t xml:space="preserve">  </w:t>
      </w:r>
      <w:r w:rsidR="00F551D7" w:rsidRPr="00D57A3A">
        <w:rPr>
          <w:color w:val="FF0000"/>
        </w:rPr>
        <w:t xml:space="preserve">CWHSSA applies, in part, </w:t>
      </w:r>
      <w:r w:rsidR="00723D6D" w:rsidRPr="00D57A3A">
        <w:rPr>
          <w:color w:val="FF0000"/>
        </w:rPr>
        <w:t xml:space="preserve">to a </w:t>
      </w:r>
      <w:r w:rsidR="00492A9B" w:rsidRPr="00D57A3A">
        <w:rPr>
          <w:color w:val="FF0000"/>
        </w:rPr>
        <w:t>“</w:t>
      </w:r>
      <w:r w:rsidR="00723D6D" w:rsidRPr="00D57A3A">
        <w:rPr>
          <w:color w:val="FF0000"/>
        </w:rPr>
        <w:t xml:space="preserve">contract </w:t>
      </w:r>
      <w:r w:rsidR="00013F13" w:rsidRPr="00D57A3A">
        <w:rPr>
          <w:color w:val="FF0000"/>
        </w:rPr>
        <w:t xml:space="preserve">for work financed at least in part by . . . grants from . . . the </w:t>
      </w:r>
      <w:r w:rsidR="00D90F1A" w:rsidRPr="00D57A3A">
        <w:rPr>
          <w:color w:val="FF0000"/>
        </w:rPr>
        <w:t xml:space="preserve">[federal government] or an agency or instrumentality </w:t>
      </w:r>
      <w:r w:rsidR="00D90F1A" w:rsidRPr="00D57A3A">
        <w:rPr>
          <w:i/>
          <w:iCs/>
          <w:color w:val="FF0000"/>
        </w:rPr>
        <w:t>under any federal law providing wage standards for the work</w:t>
      </w:r>
      <w:r w:rsidR="00D90F1A" w:rsidRPr="00D57A3A">
        <w:rPr>
          <w:color w:val="FF0000"/>
        </w:rPr>
        <w:t>.</w:t>
      </w:r>
      <w:r w:rsidR="00492A9B" w:rsidRPr="00D57A3A">
        <w:rPr>
          <w:color w:val="FF0000"/>
        </w:rPr>
        <w:t>”</w:t>
      </w:r>
      <w:r w:rsidR="00A02E23" w:rsidRPr="00D57A3A">
        <w:rPr>
          <w:color w:val="FF0000"/>
        </w:rPr>
        <w:t xml:space="preserve">  </w:t>
      </w:r>
      <w:hyperlink r:id="rId42" w:history="1">
        <w:r w:rsidR="00A02E23" w:rsidRPr="00D57A3A">
          <w:rPr>
            <w:rStyle w:val="Hyperlink"/>
            <w:color w:val="FF0000"/>
          </w:rPr>
          <w:t>40 U.S.C. 3701(b)(1)(B)(iii)</w:t>
        </w:r>
      </w:hyperlink>
      <w:r w:rsidR="00A02E23" w:rsidRPr="00D57A3A">
        <w:rPr>
          <w:color w:val="FF0000"/>
        </w:rPr>
        <w:t>.</w:t>
      </w:r>
      <w:r w:rsidR="001047E0" w:rsidRPr="00D57A3A">
        <w:rPr>
          <w:color w:val="FF0000"/>
        </w:rPr>
        <w:t xml:space="preserve">  Interpreting this provision, the Department of Labor has stated that </w:t>
      </w:r>
      <w:r w:rsidR="00492A9B" w:rsidRPr="00D57A3A">
        <w:rPr>
          <w:color w:val="FF0000"/>
        </w:rPr>
        <w:t>“</w:t>
      </w:r>
      <w:r w:rsidR="001047E0" w:rsidRPr="00D57A3A">
        <w:rPr>
          <w:color w:val="FF0000"/>
        </w:rPr>
        <w:t>coverage on federally assisted contracts does not exist unless the particular statute</w:t>
      </w:r>
      <w:r w:rsidR="00864884" w:rsidRPr="00D57A3A">
        <w:rPr>
          <w:color w:val="FF0000"/>
        </w:rPr>
        <w:t xml:space="preserve"> under which the loans or grants are authorized contains wage standards, directly or by reference.</w:t>
      </w:r>
      <w:r w:rsidR="00492A9B" w:rsidRPr="00D57A3A">
        <w:rPr>
          <w:color w:val="FF0000"/>
        </w:rPr>
        <w:t>”</w:t>
      </w:r>
      <w:r w:rsidR="00864884" w:rsidRPr="00D57A3A">
        <w:rPr>
          <w:color w:val="FF0000"/>
        </w:rPr>
        <w:t xml:space="preserve">  </w:t>
      </w:r>
      <w:hyperlink r:id="rId43" w:anchor="B15i00" w:history="1">
        <w:r w:rsidR="006C634C">
          <w:rPr>
            <w:rStyle w:val="Hyperlink"/>
            <w:color w:val="FF0000"/>
          </w:rPr>
          <w:t>DOL</w:t>
        </w:r>
        <w:r w:rsidR="00644192" w:rsidRPr="00D57A3A">
          <w:rPr>
            <w:rStyle w:val="Hyperlink"/>
            <w:color w:val="FF0000"/>
          </w:rPr>
          <w:t xml:space="preserve"> Handbook § 15i01(a)</w:t>
        </w:r>
      </w:hyperlink>
      <w:r w:rsidR="00644192" w:rsidRPr="00D57A3A">
        <w:rPr>
          <w:color w:val="FF0000"/>
        </w:rPr>
        <w:t>.</w:t>
      </w:r>
      <w:r w:rsidR="00E16992" w:rsidRPr="00D57A3A">
        <w:rPr>
          <w:color w:val="FF0000"/>
        </w:rPr>
        <w:t xml:space="preserve">  </w:t>
      </w:r>
      <w:r w:rsidR="002602D8">
        <w:rPr>
          <w:color w:val="FF0000"/>
        </w:rPr>
        <w:t>ARPA</w:t>
      </w:r>
      <w:r w:rsidR="00B84AF6" w:rsidRPr="00D57A3A">
        <w:rPr>
          <w:color w:val="FF0000"/>
        </w:rPr>
        <w:t xml:space="preserve"> does not</w:t>
      </w:r>
      <w:r w:rsidR="002602D8">
        <w:rPr>
          <w:color w:val="FF0000"/>
        </w:rPr>
        <w:t xml:space="preserve"> directly or by reference impose </w:t>
      </w:r>
      <w:r w:rsidR="00720D59" w:rsidRPr="00D57A3A">
        <w:rPr>
          <w:color w:val="FF0000"/>
        </w:rPr>
        <w:t xml:space="preserve">wage standards </w:t>
      </w:r>
      <w:r w:rsidR="002602D8">
        <w:rPr>
          <w:color w:val="FF0000"/>
        </w:rPr>
        <w:t xml:space="preserve">on </w:t>
      </w:r>
      <w:r w:rsidR="00720D59" w:rsidRPr="00D57A3A">
        <w:rPr>
          <w:color w:val="FF0000"/>
        </w:rPr>
        <w:t>the expenditure of Fiscal Recovery Funds.  Therefore, Treasury</w:t>
      </w:r>
      <w:r w:rsidR="00492A9B" w:rsidRPr="00D57A3A">
        <w:rPr>
          <w:color w:val="FF0000"/>
        </w:rPr>
        <w:t>’</w:t>
      </w:r>
      <w:r w:rsidR="00720D59" w:rsidRPr="00D57A3A">
        <w:rPr>
          <w:color w:val="FF0000"/>
        </w:rPr>
        <w:t>s requirement in the Final Rule seems to extend beyond the statutory scope of CWHSSA.</w:t>
      </w:r>
      <w:r w:rsidR="001F6E4A" w:rsidRPr="00D57A3A">
        <w:rPr>
          <w:color w:val="FF0000"/>
        </w:rPr>
        <w:t xml:space="preserve">  A recipient or subrecipient</w:t>
      </w:r>
      <w:r w:rsidR="00C836C3" w:rsidRPr="00D57A3A">
        <w:rPr>
          <w:color w:val="FF0000"/>
        </w:rPr>
        <w:t xml:space="preserve"> of Fiscal Recovery Funds</w:t>
      </w:r>
      <w:r w:rsidR="001F6E4A" w:rsidRPr="00D57A3A">
        <w:rPr>
          <w:color w:val="FF0000"/>
        </w:rPr>
        <w:t xml:space="preserve"> still may want to include these provisions out of an abundance of caution.</w:t>
      </w:r>
    </w:p>
  </w:footnote>
  <w:footnote w:id="29">
    <w:p w14:paraId="1278B7AC" w14:textId="090D5030" w:rsidR="00E72F76" w:rsidRPr="00D57A3A" w:rsidRDefault="00E72F76" w:rsidP="00A67B2D">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w:t>
      </w:r>
      <w:r w:rsidR="002E5AC4">
        <w:rPr>
          <w:b/>
          <w:bCs/>
          <w:color w:val="FF0000"/>
          <w:u w:val="single"/>
        </w:rPr>
        <w:t>f</w:t>
      </w:r>
      <w:r w:rsidRPr="00D57A3A">
        <w:rPr>
          <w:b/>
          <w:bCs/>
          <w:color w:val="FF0000"/>
          <w:u w:val="single"/>
        </w:rPr>
        <w:t>t</w:t>
      </w:r>
      <w:r w:rsidRPr="00D57A3A">
        <w:rPr>
          <w:color w:val="FF0000"/>
        </w:rPr>
        <w:t>:  Th</w:t>
      </w:r>
      <w:r w:rsidR="007C68EC" w:rsidRPr="00D57A3A">
        <w:rPr>
          <w:color w:val="FF0000"/>
        </w:rPr>
        <w:t>ese are statutory</w:t>
      </w:r>
      <w:r w:rsidR="00E15E7D" w:rsidRPr="00D57A3A">
        <w:rPr>
          <w:color w:val="FF0000"/>
        </w:rPr>
        <w:t xml:space="preserve"> exceptions</w:t>
      </w:r>
      <w:r w:rsidR="002602D8">
        <w:rPr>
          <w:color w:val="FF0000"/>
        </w:rPr>
        <w:t xml:space="preserve"> to CWHSSA’s scope</w:t>
      </w:r>
      <w:r w:rsidR="007C68EC" w:rsidRPr="00D57A3A">
        <w:rPr>
          <w:color w:val="FF0000"/>
        </w:rPr>
        <w:t xml:space="preserve">.  </w:t>
      </w:r>
      <w:r w:rsidR="007C68EC" w:rsidRPr="00D57A3A">
        <w:rPr>
          <w:i/>
          <w:iCs/>
          <w:color w:val="FF0000"/>
        </w:rPr>
        <w:t>See</w:t>
      </w:r>
      <w:r w:rsidR="007C68EC" w:rsidRPr="00D57A3A">
        <w:rPr>
          <w:color w:val="FF0000"/>
        </w:rPr>
        <w:t xml:space="preserve"> </w:t>
      </w:r>
      <w:hyperlink r:id="rId44" w:history="1">
        <w:r w:rsidR="00076843" w:rsidRPr="00D57A3A">
          <w:rPr>
            <w:rStyle w:val="Hyperlink"/>
            <w:color w:val="FF0000"/>
          </w:rPr>
          <w:t>40 U.S.C. § 3701(b)(3)(A)</w:t>
        </w:r>
      </w:hyperlink>
      <w:r w:rsidR="00A74F1B" w:rsidRPr="00D57A3A">
        <w:rPr>
          <w:color w:val="FF0000"/>
        </w:rPr>
        <w:t>.</w:t>
      </w:r>
    </w:p>
  </w:footnote>
  <w:footnote w:id="30">
    <w:p w14:paraId="542BE4E2" w14:textId="1A8D8D3A" w:rsidR="00AF44E6" w:rsidRPr="00C31D4F" w:rsidRDefault="00A67B2D" w:rsidP="00A67B2D">
      <w:pPr>
        <w:pStyle w:val="FootnoteText"/>
        <w:jc w:val="both"/>
        <w:rPr>
          <w:color w:val="FF0000"/>
        </w:rPr>
      </w:pPr>
      <w:r w:rsidRPr="00C31D4F">
        <w:rPr>
          <w:rStyle w:val="FootnoteReference"/>
          <w:color w:val="FF0000"/>
        </w:rPr>
        <w:footnoteRef/>
      </w:r>
      <w:r w:rsidRPr="00C31D4F">
        <w:rPr>
          <w:color w:val="FF0000"/>
        </w:rPr>
        <w:t xml:space="preserve"> </w:t>
      </w:r>
      <w:r w:rsidRPr="00C31D4F">
        <w:rPr>
          <w:b/>
          <w:bCs/>
          <w:color w:val="FF0000"/>
          <w:u w:val="single"/>
        </w:rPr>
        <w:t>Note to Draft</w:t>
      </w:r>
      <w:r w:rsidRPr="00C31D4F">
        <w:rPr>
          <w:color w:val="FF0000"/>
        </w:rPr>
        <w:t xml:space="preserve">:  Appendix II, § (F) states that if a “federal award meets the definition of ‘funding agreement’ under </w:t>
      </w:r>
      <w:hyperlink r:id="rId45" w:history="1">
        <w:r w:rsidRPr="00D35B56">
          <w:rPr>
            <w:rStyle w:val="Hyperlink"/>
          </w:rPr>
          <w:t>37 C.F.R. § 401.2(a)</w:t>
        </w:r>
      </w:hyperlink>
      <w:r w:rsidRPr="00C31D4F">
        <w:rPr>
          <w:color w:val="FF0000"/>
        </w:rPr>
        <w:t xml:space="preserve"> . . . and the recipient or subrecipient wishes to enter into a contract with a small business firm or nonprofit organization regarding the . . . performance of experimental, developmental, or research work under that ‘funding agreement’, the recipient or subrecipient must comply with the requirements of </w:t>
      </w:r>
      <w:hyperlink r:id="rId46" w:history="1">
        <w:r w:rsidRPr="00D35B56">
          <w:rPr>
            <w:rStyle w:val="Hyperlink"/>
          </w:rPr>
          <w:t>37 C.F.R. Part 401</w:t>
        </w:r>
      </w:hyperlink>
      <w:r w:rsidRPr="00C31D4F">
        <w:rPr>
          <w:color w:val="FF0000"/>
        </w:rPr>
        <w:t xml:space="preserve"> . . . and any implementing regulations issued by the awarding agency.”  A “funding agreement” under 37 C.F.R. § 401.2(a) includes</w:t>
      </w:r>
      <w:r w:rsidR="00482676" w:rsidRPr="00C31D4F">
        <w:rPr>
          <w:color w:val="FF0000"/>
        </w:rPr>
        <w:t xml:space="preserve"> any “grant . . . entered into between any Federal agency . . . and any contractor for the performance of experimental, developmental, or research work funded in whole or in part by the Federal government.”</w:t>
      </w:r>
      <w:r w:rsidR="00D93F23" w:rsidRPr="00C31D4F">
        <w:rPr>
          <w:color w:val="FF0000"/>
        </w:rPr>
        <w:t xml:space="preserve">  The term “contractor” encompasses federal grantees.  </w:t>
      </w:r>
      <w:r w:rsidRPr="00C31D4F">
        <w:rPr>
          <w:color w:val="FF0000"/>
        </w:rPr>
        <w:t xml:space="preserve"> It is not clear that assistance agreements between the U.S. Department of the Treasury and recipients of Fiscal Recovery Funds constitute “funding agreements” within the meaning of 37 C.F.R. § 401.2(a)</w:t>
      </w:r>
      <w:r w:rsidR="009C6E90" w:rsidRPr="00C31D4F">
        <w:rPr>
          <w:color w:val="FF0000"/>
        </w:rPr>
        <w:t>, as they do not</w:t>
      </w:r>
      <w:r w:rsidR="00EE4D54" w:rsidRPr="00C31D4F">
        <w:rPr>
          <w:color w:val="FF0000"/>
        </w:rPr>
        <w:t xml:space="preserve"> expressly contemplate the “performance of experimental, developmental, or research work”.  </w:t>
      </w:r>
      <w:r w:rsidR="00D93F23" w:rsidRPr="00C31D4F">
        <w:rPr>
          <w:color w:val="FF0000"/>
        </w:rPr>
        <w:t xml:space="preserve">The Department of the Treasury </w:t>
      </w:r>
      <w:r w:rsidR="00EE4D54" w:rsidRPr="00C31D4F">
        <w:rPr>
          <w:color w:val="FF0000"/>
        </w:rPr>
        <w:t>has not</w:t>
      </w:r>
      <w:r w:rsidR="00D93F23" w:rsidRPr="00C31D4F">
        <w:rPr>
          <w:color w:val="FF0000"/>
        </w:rPr>
        <w:t xml:space="preserve"> directly address</w:t>
      </w:r>
      <w:r w:rsidR="00EE4D54" w:rsidRPr="00C31D4F">
        <w:rPr>
          <w:color w:val="FF0000"/>
        </w:rPr>
        <w:t>ed this question</w:t>
      </w:r>
      <w:r w:rsidR="001F0F2F" w:rsidRPr="00C31D4F">
        <w:rPr>
          <w:color w:val="FF0000"/>
        </w:rPr>
        <w:t xml:space="preserve"> in any regulations implementing 37 C.F.R. Part 401 and no case law directly interprets the meaning of the phrase.</w:t>
      </w:r>
      <w:r w:rsidR="000B7BEC" w:rsidRPr="00C31D4F">
        <w:rPr>
          <w:color w:val="FF0000"/>
        </w:rPr>
        <w:t xml:space="preserve">  This clause </w:t>
      </w:r>
      <w:r w:rsidR="00AF44E6" w:rsidRPr="00C31D4F">
        <w:rPr>
          <w:color w:val="FF0000"/>
        </w:rPr>
        <w:t xml:space="preserve">is derived from a model clause developed by the Federal Transit Administration.  </w:t>
      </w:r>
      <w:r w:rsidR="00AF44E6" w:rsidRPr="00C31D4F">
        <w:rPr>
          <w:i/>
          <w:iCs/>
          <w:color w:val="FF0000"/>
        </w:rPr>
        <w:t xml:space="preserve">See </w:t>
      </w:r>
      <w:hyperlink r:id="rId47" w:history="1">
        <w:r w:rsidR="00AF44E6" w:rsidRPr="00C31D4F">
          <w:rPr>
            <w:rStyle w:val="Hyperlink"/>
            <w:color w:val="FF0000"/>
          </w:rPr>
          <w:t>Federal Transit Administration, Best Practices Procurement &amp; Lessons Learned Manual, FTA Report No. 0105 A-69-78 (2016)</w:t>
        </w:r>
      </w:hyperlink>
      <w:r w:rsidR="00AF44E6" w:rsidRPr="00C31D4F">
        <w:rPr>
          <w:color w:val="FF0000"/>
        </w:rPr>
        <w:t>.</w:t>
      </w:r>
    </w:p>
  </w:footnote>
  <w:footnote w:id="31">
    <w:p w14:paraId="1E0B1DAF" w14:textId="644CFB1E" w:rsidR="00AE147C" w:rsidRPr="00C31D4F" w:rsidRDefault="00252B73" w:rsidP="00A67B2D">
      <w:pPr>
        <w:pStyle w:val="FootnoteText"/>
        <w:jc w:val="both"/>
        <w:rPr>
          <w:color w:val="FF0000"/>
        </w:rPr>
      </w:pPr>
      <w:r w:rsidRPr="00C31D4F">
        <w:rPr>
          <w:rStyle w:val="FootnoteReference"/>
          <w:color w:val="FF0000"/>
        </w:rPr>
        <w:footnoteRef/>
      </w:r>
      <w:r w:rsidRPr="00C31D4F">
        <w:rPr>
          <w:color w:val="FF0000"/>
        </w:rPr>
        <w:t xml:space="preserve"> </w:t>
      </w:r>
      <w:r w:rsidR="00BA154C" w:rsidRPr="00C31D4F">
        <w:rPr>
          <w:b/>
          <w:bCs/>
          <w:color w:val="FF0000"/>
          <w:u w:val="single"/>
        </w:rPr>
        <w:t>Note to Draft</w:t>
      </w:r>
      <w:r w:rsidR="00BA154C" w:rsidRPr="00C31D4F">
        <w:rPr>
          <w:color w:val="FF0000"/>
        </w:rPr>
        <w:t xml:space="preserve">:  </w:t>
      </w:r>
      <w:r w:rsidR="00AE147C" w:rsidRPr="00C31D4F">
        <w:rPr>
          <w:color w:val="FF0000"/>
        </w:rPr>
        <w:t xml:space="preserve">Pursuant to </w:t>
      </w:r>
      <w:hyperlink r:id="rId48" w:history="1">
        <w:r w:rsidR="00AE147C" w:rsidRPr="00680A61">
          <w:rPr>
            <w:rStyle w:val="Hyperlink"/>
          </w:rPr>
          <w:t>2 C.F.R. § 200.315(</w:t>
        </w:r>
        <w:r w:rsidR="00A86A26" w:rsidRPr="00680A61">
          <w:rPr>
            <w:rStyle w:val="Hyperlink"/>
          </w:rPr>
          <w:t>b</w:t>
        </w:r>
        <w:r w:rsidR="00AE147C" w:rsidRPr="00680A61">
          <w:rPr>
            <w:rStyle w:val="Hyperlink"/>
          </w:rPr>
          <w:t>)</w:t>
        </w:r>
      </w:hyperlink>
      <w:r w:rsidR="00AE147C" w:rsidRPr="00C31D4F">
        <w:rPr>
          <w:color w:val="FF0000"/>
        </w:rPr>
        <w:t xml:space="preserve">, </w:t>
      </w:r>
      <w:r w:rsidR="00A86A26" w:rsidRPr="00C31D4F">
        <w:rPr>
          <w:color w:val="FF0000"/>
        </w:rPr>
        <w:t xml:space="preserve">a Federal awarding agency “reserves a royalty-free, nonexclusive and irrevocable right to reproduce, publish, or otherwise use </w:t>
      </w:r>
      <w:r w:rsidR="00BA6788" w:rsidRPr="00C31D4F">
        <w:rPr>
          <w:color w:val="FF0000"/>
        </w:rPr>
        <w:t>[work that is subject to copyright, or for which ownership was acquired, under a Federal award] for Federal purposes, and to authorize others to do so.”</w:t>
      </w:r>
      <w:r w:rsidR="001C3728" w:rsidRPr="00C31D4F">
        <w:rPr>
          <w:color w:val="FF0000"/>
        </w:rPr>
        <w:t xml:space="preserve">  </w:t>
      </w:r>
      <w:r w:rsidR="00F936C2">
        <w:rPr>
          <w:color w:val="FF0000"/>
        </w:rPr>
        <w:t xml:space="preserve">Further, 2 C.F.R. § 200.315(c) states that the “Federal Government has the right to (1) obtain, reproduce, publish, or otherwise use the data produced under a </w:t>
      </w:r>
      <w:proofErr w:type="gramStart"/>
      <w:r w:rsidR="00F936C2">
        <w:rPr>
          <w:color w:val="FF0000"/>
        </w:rPr>
        <w:t>Federal</w:t>
      </w:r>
      <w:proofErr w:type="gramEnd"/>
      <w:r w:rsidR="00F936C2">
        <w:rPr>
          <w:color w:val="FF0000"/>
        </w:rPr>
        <w:t xml:space="preserve"> award; and (2) authorize others to receive, reproduce, or otherwise use such data for Federal purposes.”  </w:t>
      </w:r>
      <w:r w:rsidR="001C3728" w:rsidRPr="00C31D4F">
        <w:rPr>
          <w:color w:val="FF0000"/>
        </w:rPr>
        <w:t xml:space="preserve">The Department of the Treasury </w:t>
      </w:r>
      <w:r w:rsidR="003E271C">
        <w:rPr>
          <w:color w:val="FF0000"/>
        </w:rPr>
        <w:t>has not indicated</w:t>
      </w:r>
      <w:r w:rsidR="001C3728" w:rsidRPr="00C31D4F">
        <w:rPr>
          <w:color w:val="FF0000"/>
        </w:rPr>
        <w:t xml:space="preserve"> that 2 C.F.R. §</w:t>
      </w:r>
      <w:r w:rsidR="001A0C70">
        <w:rPr>
          <w:color w:val="FF0000"/>
        </w:rPr>
        <w:t xml:space="preserve"> </w:t>
      </w:r>
      <w:r w:rsidR="001C3728" w:rsidRPr="00C31D4F">
        <w:rPr>
          <w:color w:val="FF0000"/>
        </w:rPr>
        <w:t>200.315</w:t>
      </w:r>
      <w:r w:rsidR="001D0B08" w:rsidRPr="00C31D4F">
        <w:rPr>
          <w:color w:val="FF0000"/>
        </w:rPr>
        <w:t xml:space="preserve"> does not apply</w:t>
      </w:r>
      <w:r w:rsidR="00680A61">
        <w:rPr>
          <w:color w:val="FF0000"/>
        </w:rPr>
        <w:t xml:space="preserve"> to the expenditure of Fiscal Recovery Funds.</w:t>
      </w:r>
    </w:p>
    <w:p w14:paraId="2E7DB725" w14:textId="77777777" w:rsidR="00AE147C" w:rsidRDefault="00AE147C" w:rsidP="00A67B2D">
      <w:pPr>
        <w:pStyle w:val="FootnoteText"/>
        <w:jc w:val="both"/>
      </w:pPr>
    </w:p>
    <w:p w14:paraId="3F28DE94" w14:textId="7F442B0E" w:rsidR="00252B73" w:rsidRPr="00BA154C" w:rsidRDefault="00252B73" w:rsidP="00A67B2D">
      <w:pPr>
        <w:pStyle w:val="FootnoteText"/>
        <w:jc w:val="both"/>
      </w:pPr>
    </w:p>
  </w:footnote>
  <w:footnote w:id="32">
    <w:p w14:paraId="73EF4362" w14:textId="604B75B0" w:rsidR="009C7C21" w:rsidRPr="00BF4CA1" w:rsidRDefault="009C7C21"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b/>
          <w:bCs/>
          <w:color w:val="FF0000"/>
        </w:rPr>
        <w:t>:</w:t>
      </w:r>
      <w:r w:rsidR="00BF4CA1">
        <w:rPr>
          <w:color w:val="FF0000"/>
        </w:rPr>
        <w:t xml:space="preserve">  </w:t>
      </w:r>
      <w:r w:rsidR="00BF4CA1">
        <w:rPr>
          <w:color w:val="FF0000"/>
          <w:u w:val="single"/>
        </w:rPr>
        <w:t>Section VI</w:t>
      </w:r>
      <w:r w:rsidR="00BF4CA1">
        <w:rPr>
          <w:color w:val="FF0000"/>
        </w:rPr>
        <w:t xml:space="preserve"> satisfies the requirements of Appendix II, § (</w:t>
      </w:r>
      <w:r w:rsidR="000A390C">
        <w:rPr>
          <w:color w:val="FF0000"/>
        </w:rPr>
        <w:t>G</w:t>
      </w:r>
      <w:r w:rsidR="00BF4CA1">
        <w:rPr>
          <w:color w:val="FF0000"/>
        </w:rPr>
        <w:t>).</w:t>
      </w:r>
    </w:p>
  </w:footnote>
  <w:footnote w:id="33">
    <w:p w14:paraId="5CFC74F2" w14:textId="484BE411" w:rsidR="008C3472" w:rsidRPr="00D57A3A" w:rsidRDefault="008C3472" w:rsidP="0087745C">
      <w:pPr>
        <w:pStyle w:val="FootnoteText"/>
        <w:jc w:val="both"/>
        <w:rPr>
          <w:color w:val="FF0000"/>
        </w:rPr>
      </w:pPr>
      <w:r w:rsidRPr="00D57A3A">
        <w:rPr>
          <w:rStyle w:val="FootnoteReference"/>
          <w:color w:val="FF0000"/>
        </w:rPr>
        <w:footnoteRef/>
      </w:r>
      <w:r w:rsidRPr="00D57A3A">
        <w:rPr>
          <w:color w:val="FF0000"/>
        </w:rPr>
        <w:t xml:space="preserve"> </w:t>
      </w:r>
      <w:r w:rsidR="000E34A0" w:rsidRPr="00D57A3A">
        <w:rPr>
          <w:b/>
          <w:bCs/>
          <w:color w:val="FF0000"/>
          <w:u w:val="single"/>
        </w:rPr>
        <w:t>Note to Draft</w:t>
      </w:r>
      <w:r w:rsidR="000E34A0" w:rsidRPr="00D57A3A">
        <w:rPr>
          <w:color w:val="FF0000"/>
        </w:rPr>
        <w:t xml:space="preserve">:  </w:t>
      </w:r>
      <w:r w:rsidR="000E34A0" w:rsidRPr="00E446C6">
        <w:rPr>
          <w:color w:val="FF0000"/>
          <w:u w:val="single"/>
        </w:rPr>
        <w:t>Section VI</w:t>
      </w:r>
      <w:r w:rsidR="00E02243">
        <w:rPr>
          <w:color w:val="FF0000"/>
          <w:u w:val="single"/>
        </w:rPr>
        <w:t>I</w:t>
      </w:r>
      <w:r w:rsidRPr="00D57A3A">
        <w:rPr>
          <w:color w:val="FF0000"/>
        </w:rPr>
        <w:t xml:space="preserve"> satisfies the requirement</w:t>
      </w:r>
      <w:r w:rsidR="009E31A2" w:rsidRPr="00D57A3A">
        <w:rPr>
          <w:color w:val="FF0000"/>
        </w:rPr>
        <w:t>s of Appendix II, § (</w:t>
      </w:r>
      <w:r w:rsidR="000A390C">
        <w:rPr>
          <w:color w:val="FF0000"/>
        </w:rPr>
        <w:t>H</w:t>
      </w:r>
      <w:r w:rsidR="009E31A2" w:rsidRPr="00D57A3A">
        <w:rPr>
          <w:color w:val="FF0000"/>
        </w:rPr>
        <w:t>) and</w:t>
      </w:r>
      <w:r w:rsidR="00C02A87" w:rsidRPr="00D57A3A">
        <w:rPr>
          <w:color w:val="FF0000"/>
        </w:rPr>
        <w:t xml:space="preserve"> § 9(b)(iv) of the</w:t>
      </w:r>
      <w:r w:rsidR="000E34A0" w:rsidRPr="00D57A3A">
        <w:rPr>
          <w:color w:val="FF0000"/>
        </w:rPr>
        <w:t xml:space="preserve"> </w:t>
      </w:r>
      <w:hyperlink r:id="rId49" w:history="1">
        <w:r w:rsidR="00900EC4">
          <w:rPr>
            <w:rStyle w:val="Hyperlink"/>
            <w:color w:val="FF0000"/>
          </w:rPr>
          <w:t>Local F</w:t>
        </w:r>
        <w:r w:rsidR="00E15FC8" w:rsidRPr="00D57A3A">
          <w:rPr>
            <w:rStyle w:val="Hyperlink"/>
            <w:color w:val="FF0000"/>
          </w:rPr>
          <w:t>iscal Recovery Fund</w:t>
        </w:r>
        <w:r w:rsidR="009E31A2" w:rsidRPr="00D57A3A">
          <w:rPr>
            <w:rStyle w:val="Hyperlink"/>
            <w:color w:val="FF0000"/>
          </w:rPr>
          <w:t xml:space="preserve"> Award Terms and Conditions</w:t>
        </w:r>
      </w:hyperlink>
      <w:r w:rsidR="00900EC4">
        <w:rPr>
          <w:rStyle w:val="Hyperlink"/>
          <w:color w:val="FF0000"/>
        </w:rPr>
        <w:t xml:space="preserve"> (hereinafter Local FRF Award Terms)</w:t>
      </w:r>
      <w:r w:rsidR="000E34A0" w:rsidRPr="00D57A3A">
        <w:rPr>
          <w:color w:val="FF0000"/>
        </w:rPr>
        <w:t>.</w:t>
      </w:r>
      <w:r w:rsidR="009E31A2" w:rsidRPr="00D57A3A">
        <w:rPr>
          <w:color w:val="FF0000"/>
        </w:rPr>
        <w:t xml:space="preserve"> § 9(b)(iv)</w:t>
      </w:r>
      <w:r w:rsidR="000E34A0" w:rsidRPr="00D57A3A">
        <w:rPr>
          <w:color w:val="FF0000"/>
        </w:rPr>
        <w:t xml:space="preserve"> requires</w:t>
      </w:r>
      <w:r w:rsidR="009E31A2" w:rsidRPr="00D57A3A">
        <w:rPr>
          <w:color w:val="FF0000"/>
        </w:rPr>
        <w:t xml:space="preserve"> </w:t>
      </w:r>
      <w:r w:rsidR="00697BD6" w:rsidRPr="00D57A3A">
        <w:rPr>
          <w:color w:val="FF0000"/>
        </w:rPr>
        <w:t>recipients and subrecipients of monies from the Fiscal Recovery Funds to include</w:t>
      </w:r>
      <w:r w:rsidR="009E31A2" w:rsidRPr="00D57A3A">
        <w:rPr>
          <w:color w:val="FF0000"/>
        </w:rPr>
        <w:t xml:space="preserve"> </w:t>
      </w:r>
      <w:r w:rsidR="0023597D" w:rsidRPr="00D57A3A">
        <w:rPr>
          <w:color w:val="FF0000"/>
        </w:rPr>
        <w:t>a</w:t>
      </w:r>
      <w:r w:rsidRPr="00D57A3A">
        <w:rPr>
          <w:color w:val="FF0000"/>
        </w:rPr>
        <w:t xml:space="preserve"> </w:t>
      </w:r>
      <w:r w:rsidR="00492A9B" w:rsidRPr="00D57A3A">
        <w:rPr>
          <w:color w:val="FF0000"/>
        </w:rPr>
        <w:t>“</w:t>
      </w:r>
      <w:r w:rsidRPr="00D57A3A">
        <w:rPr>
          <w:color w:val="FF0000"/>
        </w:rPr>
        <w:t xml:space="preserve">term or condition in all lower tier covered transactions (contracts and subcontracts </w:t>
      </w:r>
      <w:r w:rsidR="004D7288" w:rsidRPr="00D57A3A">
        <w:rPr>
          <w:color w:val="FF0000"/>
        </w:rPr>
        <w:t>described</w:t>
      </w:r>
      <w:r w:rsidRPr="00D57A3A">
        <w:rPr>
          <w:color w:val="FF0000"/>
        </w:rPr>
        <w:t xml:space="preserve"> in </w:t>
      </w:r>
      <w:hyperlink r:id="rId50" w:history="1">
        <w:r w:rsidRPr="00AA222A">
          <w:rPr>
            <w:rStyle w:val="Hyperlink"/>
          </w:rPr>
          <w:t>2 C.F.R. Part 180</w:t>
        </w:r>
        <w:r w:rsidR="004D7288" w:rsidRPr="00AA222A">
          <w:rPr>
            <w:rStyle w:val="Hyperlink"/>
          </w:rPr>
          <w:t>, subpart B</w:t>
        </w:r>
      </w:hyperlink>
      <w:r w:rsidR="004D7288" w:rsidRPr="00D57A3A">
        <w:rPr>
          <w:color w:val="FF0000"/>
        </w:rPr>
        <w:t xml:space="preserve">) that the award is subject to </w:t>
      </w:r>
      <w:hyperlink r:id="rId51" w:history="1">
        <w:r w:rsidR="004D7288" w:rsidRPr="00AA222A">
          <w:rPr>
            <w:rStyle w:val="Hyperlink"/>
          </w:rPr>
          <w:t>2 C.F.R. Part 180</w:t>
        </w:r>
      </w:hyperlink>
      <w:r w:rsidR="004D7288" w:rsidRPr="00D57A3A">
        <w:rPr>
          <w:color w:val="FF0000"/>
        </w:rPr>
        <w:t xml:space="preserve"> and Treasury</w:t>
      </w:r>
      <w:r w:rsidR="00492A9B" w:rsidRPr="00D57A3A">
        <w:rPr>
          <w:color w:val="FF0000"/>
        </w:rPr>
        <w:t>’</w:t>
      </w:r>
      <w:r w:rsidR="004D7288" w:rsidRPr="00D57A3A">
        <w:rPr>
          <w:color w:val="FF0000"/>
        </w:rPr>
        <w:t xml:space="preserve">s implementing regulation at </w:t>
      </w:r>
      <w:hyperlink r:id="rId52" w:history="1">
        <w:r w:rsidR="004D7288" w:rsidRPr="00AA222A">
          <w:rPr>
            <w:rStyle w:val="Hyperlink"/>
          </w:rPr>
          <w:t>31 C.F.R. Part 19</w:t>
        </w:r>
      </w:hyperlink>
      <w:r w:rsidR="004D7288" w:rsidRPr="00D57A3A">
        <w:rPr>
          <w:color w:val="FF0000"/>
        </w:rPr>
        <w:t>.</w:t>
      </w:r>
      <w:r w:rsidR="00492A9B" w:rsidRPr="00D57A3A">
        <w:rPr>
          <w:color w:val="FF0000"/>
        </w:rPr>
        <w:t>”</w:t>
      </w:r>
      <w:r w:rsidR="00565102" w:rsidRPr="00D57A3A">
        <w:rPr>
          <w:color w:val="FF0000"/>
        </w:rPr>
        <w:t xml:space="preserve"> </w:t>
      </w:r>
    </w:p>
  </w:footnote>
  <w:footnote w:id="34">
    <w:p w14:paraId="185FB5CD" w14:textId="2605E504" w:rsidR="00F63013" w:rsidRPr="00D57A3A" w:rsidRDefault="00F63013"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00C93277" w:rsidRPr="00D57A3A">
        <w:rPr>
          <w:color w:val="FF0000"/>
        </w:rPr>
        <w:t xml:space="preserve">A contract between a recipient or subrecipient </w:t>
      </w:r>
      <w:r w:rsidR="00C32488" w:rsidRPr="00D57A3A">
        <w:rPr>
          <w:color w:val="FF0000"/>
        </w:rPr>
        <w:t xml:space="preserve">of Fiscal Recovery Funds and a prime contractor is a </w:t>
      </w:r>
      <w:r w:rsidR="00B92E66" w:rsidRPr="00D57A3A">
        <w:rPr>
          <w:color w:val="FF0000"/>
        </w:rPr>
        <w:t xml:space="preserve">lower-tier procurement transaction and is a “covered transaction” for purposes of </w:t>
      </w:r>
      <w:hyperlink r:id="rId53" w:history="1">
        <w:r w:rsidR="00B92E66" w:rsidRPr="00AA222A">
          <w:rPr>
            <w:rStyle w:val="Hyperlink"/>
          </w:rPr>
          <w:t>2 C.F.R. Part 180</w:t>
        </w:r>
      </w:hyperlink>
      <w:r w:rsidR="00B92E66" w:rsidRPr="00D57A3A">
        <w:rPr>
          <w:color w:val="FF0000"/>
        </w:rPr>
        <w:t xml:space="preserve"> and </w:t>
      </w:r>
      <w:hyperlink r:id="rId54" w:history="1">
        <w:r w:rsidR="00B92E66" w:rsidRPr="00F35AD8">
          <w:rPr>
            <w:rStyle w:val="Hyperlink"/>
          </w:rPr>
          <w:t>31 C.F.R. Part 19</w:t>
        </w:r>
      </w:hyperlink>
      <w:r w:rsidR="00B92E66" w:rsidRPr="00D57A3A">
        <w:rPr>
          <w:color w:val="FF0000"/>
        </w:rPr>
        <w:t xml:space="preserve"> if </w:t>
      </w:r>
      <w:r w:rsidR="00BD2681" w:rsidRPr="00D57A3A">
        <w:rPr>
          <w:color w:val="FF0000"/>
        </w:rPr>
        <w:t>one</w:t>
      </w:r>
      <w:r w:rsidR="00486BCA" w:rsidRPr="00D57A3A">
        <w:rPr>
          <w:color w:val="FF0000"/>
        </w:rPr>
        <w:t xml:space="preserve"> or more</w:t>
      </w:r>
      <w:r w:rsidR="00BD2681" w:rsidRPr="00D57A3A">
        <w:rPr>
          <w:color w:val="FF0000"/>
        </w:rPr>
        <w:t xml:space="preserve"> of the conditions in </w:t>
      </w:r>
      <w:hyperlink r:id="rId55" w:history="1">
        <w:r w:rsidR="00BD2681" w:rsidRPr="00F35AD8">
          <w:rPr>
            <w:rStyle w:val="Hyperlink"/>
          </w:rPr>
          <w:t>2 C.F.R. § 180.220(b)</w:t>
        </w:r>
      </w:hyperlink>
      <w:r w:rsidR="00BD2681" w:rsidRPr="00D57A3A">
        <w:rPr>
          <w:color w:val="FF0000"/>
        </w:rPr>
        <w:t xml:space="preserve"> and </w:t>
      </w:r>
      <w:hyperlink r:id="rId56" w:history="1">
        <w:r w:rsidR="00BD2681" w:rsidRPr="00F35AD8">
          <w:rPr>
            <w:rStyle w:val="Hyperlink"/>
          </w:rPr>
          <w:t>31 C.F.R. § 19.220(b)</w:t>
        </w:r>
      </w:hyperlink>
      <w:r w:rsidR="00BD2681" w:rsidRPr="00D57A3A">
        <w:rPr>
          <w:color w:val="FF0000"/>
        </w:rPr>
        <w:t xml:space="preserve"> applies.  </w:t>
      </w:r>
      <w:r w:rsidR="00BD2681" w:rsidRPr="009959EE">
        <w:rPr>
          <w:color w:val="FF0000"/>
          <w:u w:val="single"/>
        </w:rPr>
        <w:t>Section V</w:t>
      </w:r>
      <w:r w:rsidR="00FC3C90" w:rsidRPr="009959EE">
        <w:rPr>
          <w:color w:val="FF0000"/>
          <w:u w:val="single"/>
        </w:rPr>
        <w:t>I</w:t>
      </w:r>
      <w:r w:rsidR="00BD2681" w:rsidRPr="009959EE">
        <w:rPr>
          <w:color w:val="FF0000"/>
          <w:u w:val="single"/>
        </w:rPr>
        <w:t>I(a)</w:t>
      </w:r>
      <w:r w:rsidR="00BD2681" w:rsidRPr="00D57A3A">
        <w:rPr>
          <w:color w:val="FF0000"/>
        </w:rPr>
        <w:t xml:space="preserve"> sets forth </w:t>
      </w:r>
      <w:r w:rsidR="00486BCA" w:rsidRPr="00D57A3A">
        <w:rPr>
          <w:color w:val="FF0000"/>
        </w:rPr>
        <w:t>these</w:t>
      </w:r>
      <w:r w:rsidR="00BD2681" w:rsidRPr="00D57A3A">
        <w:rPr>
          <w:color w:val="FF0000"/>
        </w:rPr>
        <w:t xml:space="preserve"> conditions.</w:t>
      </w:r>
      <w:r w:rsidR="00505005" w:rsidRPr="00D57A3A">
        <w:rPr>
          <w:color w:val="FF0000"/>
        </w:rPr>
        <w:t xml:space="preserve">  Prior to </w:t>
      </w:r>
      <w:proofErr w:type="gramStart"/>
      <w:r w:rsidR="00505005" w:rsidRPr="00D57A3A">
        <w:rPr>
          <w:color w:val="FF0000"/>
        </w:rPr>
        <w:t>entering into</w:t>
      </w:r>
      <w:proofErr w:type="gramEnd"/>
      <w:r w:rsidR="00505005" w:rsidRPr="00D57A3A">
        <w:rPr>
          <w:color w:val="FF0000"/>
        </w:rPr>
        <w:t xml:space="preserve"> a “covered transaction”</w:t>
      </w:r>
      <w:r w:rsidR="00072180" w:rsidRPr="00D57A3A">
        <w:rPr>
          <w:color w:val="FF0000"/>
        </w:rPr>
        <w:t xml:space="preserve">, a recipient or subrecipient must “verify” that the counterparty is not excluded or disqualified.  </w:t>
      </w:r>
      <w:r w:rsidR="00072180" w:rsidRPr="00D57A3A">
        <w:rPr>
          <w:i/>
          <w:iCs/>
          <w:color w:val="FF0000"/>
        </w:rPr>
        <w:t>See</w:t>
      </w:r>
      <w:r w:rsidR="00072180" w:rsidRPr="00D57A3A">
        <w:rPr>
          <w:color w:val="FF0000"/>
        </w:rPr>
        <w:t xml:space="preserve"> </w:t>
      </w:r>
      <w:hyperlink r:id="rId57" w:history="1">
        <w:r w:rsidR="00072180" w:rsidRPr="00614456">
          <w:rPr>
            <w:rStyle w:val="Hyperlink"/>
          </w:rPr>
          <w:t>2 C.F.R. § 180.300</w:t>
        </w:r>
      </w:hyperlink>
      <w:r w:rsidR="00072180" w:rsidRPr="00D57A3A">
        <w:rPr>
          <w:color w:val="FF0000"/>
        </w:rPr>
        <w:t xml:space="preserve">; </w:t>
      </w:r>
      <w:hyperlink r:id="rId58" w:history="1">
        <w:r w:rsidR="00072180" w:rsidRPr="00614456">
          <w:rPr>
            <w:rStyle w:val="Hyperlink"/>
          </w:rPr>
          <w:t xml:space="preserve">31 C.F.R. § </w:t>
        </w:r>
        <w:r w:rsidR="0082277E" w:rsidRPr="00614456">
          <w:rPr>
            <w:rStyle w:val="Hyperlink"/>
          </w:rPr>
          <w:t>19.300</w:t>
        </w:r>
      </w:hyperlink>
      <w:r w:rsidR="0082277E" w:rsidRPr="00D57A3A">
        <w:rPr>
          <w:color w:val="FF0000"/>
        </w:rPr>
        <w:t>.</w:t>
      </w:r>
      <w:r w:rsidR="00E457F0" w:rsidRPr="00D57A3A">
        <w:rPr>
          <w:color w:val="FF0000"/>
        </w:rPr>
        <w:t xml:space="preserve">  This verification may occur by (1) checking </w:t>
      </w:r>
      <w:hyperlink r:id="rId59" w:history="1">
        <w:r w:rsidR="001B0592" w:rsidRPr="00183C3E">
          <w:rPr>
            <w:rStyle w:val="Hyperlink"/>
          </w:rPr>
          <w:t>System for Award Management (“SAM”)</w:t>
        </w:r>
        <w:r w:rsidR="00E457F0" w:rsidRPr="00183C3E">
          <w:rPr>
            <w:rStyle w:val="Hyperlink"/>
          </w:rPr>
          <w:t xml:space="preserve"> exclusions</w:t>
        </w:r>
      </w:hyperlink>
      <w:r w:rsidR="00E457F0" w:rsidRPr="00D57A3A">
        <w:rPr>
          <w:color w:val="FF0000"/>
        </w:rPr>
        <w:t xml:space="preserve">; (2) collecting a certification from the lower-tier counterparty; </w:t>
      </w:r>
      <w:r w:rsidR="00E457F0" w:rsidRPr="00D57A3A">
        <w:rPr>
          <w:i/>
          <w:iCs/>
          <w:color w:val="FF0000"/>
        </w:rPr>
        <w:t>or</w:t>
      </w:r>
      <w:r w:rsidR="00E457F0" w:rsidRPr="00D57A3A">
        <w:rPr>
          <w:color w:val="FF0000"/>
        </w:rPr>
        <w:t xml:space="preserve"> (3) adding a clause or condition to the covered transaction with the lower-tier counterparty.  </w:t>
      </w:r>
      <w:r w:rsidR="00D574E6" w:rsidRPr="009959EE">
        <w:rPr>
          <w:color w:val="FF0000"/>
          <w:u w:val="single"/>
        </w:rPr>
        <w:t>Section V</w:t>
      </w:r>
      <w:r w:rsidR="00614456">
        <w:rPr>
          <w:color w:val="FF0000"/>
          <w:u w:val="single"/>
        </w:rPr>
        <w:t>I</w:t>
      </w:r>
      <w:r w:rsidR="00D574E6" w:rsidRPr="009959EE">
        <w:rPr>
          <w:color w:val="FF0000"/>
          <w:u w:val="single"/>
        </w:rPr>
        <w:t>I(b)</w:t>
      </w:r>
      <w:r w:rsidR="00634F8B" w:rsidRPr="00D57A3A">
        <w:rPr>
          <w:color w:val="FF0000"/>
        </w:rPr>
        <w:t xml:space="preserve"> acts as</w:t>
      </w:r>
      <w:r w:rsidR="00F17018" w:rsidRPr="00D57A3A">
        <w:rPr>
          <w:color w:val="FF0000"/>
        </w:rPr>
        <w:t xml:space="preserve"> both</w:t>
      </w:r>
      <w:r w:rsidR="00634F8B" w:rsidRPr="00D57A3A">
        <w:rPr>
          <w:color w:val="FF0000"/>
        </w:rPr>
        <w:t xml:space="preserve"> a certification and a </w:t>
      </w:r>
      <w:r w:rsidR="00FF3E20" w:rsidRPr="00D57A3A">
        <w:rPr>
          <w:color w:val="FF0000"/>
        </w:rPr>
        <w:t>condition.  Separately, the procurement standards in the Uniform Guidance only allow recipients and subrecipients to award contracts to “responsible” contractors</w:t>
      </w:r>
      <w:r w:rsidR="006037AD" w:rsidRPr="00D57A3A">
        <w:rPr>
          <w:color w:val="FF0000"/>
        </w:rPr>
        <w:t xml:space="preserve"> (</w:t>
      </w:r>
      <w:r w:rsidR="006037AD" w:rsidRPr="00D57A3A">
        <w:rPr>
          <w:i/>
          <w:iCs/>
          <w:color w:val="FF0000"/>
        </w:rPr>
        <w:t>s</w:t>
      </w:r>
      <w:r w:rsidR="00FF3E20" w:rsidRPr="00D57A3A">
        <w:rPr>
          <w:i/>
          <w:iCs/>
          <w:color w:val="FF0000"/>
        </w:rPr>
        <w:t>ee</w:t>
      </w:r>
      <w:r w:rsidR="006037AD" w:rsidRPr="00D57A3A">
        <w:rPr>
          <w:i/>
          <w:iCs/>
          <w:color w:val="FF0000"/>
        </w:rPr>
        <w:t xml:space="preserve"> </w:t>
      </w:r>
      <w:hyperlink r:id="rId60" w:history="1">
        <w:r w:rsidR="00FF3E20" w:rsidRPr="004B221C">
          <w:rPr>
            <w:rStyle w:val="Hyperlink"/>
          </w:rPr>
          <w:t>2 C.F.R. § 200.</w:t>
        </w:r>
        <w:r w:rsidR="004B221C" w:rsidRPr="004B221C">
          <w:rPr>
            <w:rStyle w:val="Hyperlink"/>
          </w:rPr>
          <w:t>3</w:t>
        </w:r>
        <w:r w:rsidR="00FF3E20" w:rsidRPr="004B221C">
          <w:rPr>
            <w:rStyle w:val="Hyperlink"/>
          </w:rPr>
          <w:t>18(h)</w:t>
        </w:r>
      </w:hyperlink>
      <w:r w:rsidR="006037AD" w:rsidRPr="00D57A3A">
        <w:rPr>
          <w:color w:val="FF0000"/>
        </w:rPr>
        <w:t>) and checking the SAM.gov exclusions system can demonstrate a good faith attempt to comply with this requirement.</w:t>
      </w:r>
    </w:p>
  </w:footnote>
  <w:footnote w:id="35">
    <w:p w14:paraId="04B8B652" w14:textId="65CD53E8" w:rsidR="001F389B" w:rsidRPr="00D57A3A" w:rsidRDefault="001F389B"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u w:val="single"/>
        </w:rPr>
        <w:t>:</w:t>
      </w:r>
      <w:r w:rsidRPr="00D57A3A">
        <w:rPr>
          <w:color w:val="FF0000"/>
        </w:rPr>
        <w:t xml:space="preserve">  </w:t>
      </w:r>
      <w:hyperlink r:id="rId61" w:history="1">
        <w:r w:rsidRPr="00516981">
          <w:rPr>
            <w:rStyle w:val="Hyperlink"/>
          </w:rPr>
          <w:t>2 C.F.R. § 180.220(c)</w:t>
        </w:r>
      </w:hyperlink>
      <w:r w:rsidRPr="00D57A3A">
        <w:rPr>
          <w:color w:val="FF0000"/>
        </w:rPr>
        <w:t xml:space="preserve"> </w:t>
      </w:r>
      <w:r w:rsidR="00194C51" w:rsidRPr="00D57A3A">
        <w:rPr>
          <w:color w:val="FF0000"/>
        </w:rPr>
        <w:t xml:space="preserve">provides that a </w:t>
      </w:r>
      <w:r w:rsidR="00492A9B" w:rsidRPr="00D57A3A">
        <w:rPr>
          <w:color w:val="FF0000"/>
        </w:rPr>
        <w:t>“</w:t>
      </w:r>
      <w:r w:rsidR="00194C51" w:rsidRPr="00D57A3A">
        <w:rPr>
          <w:color w:val="FF0000"/>
        </w:rPr>
        <w:t>subcontract</w:t>
      </w:r>
      <w:r w:rsidR="00492A9B" w:rsidRPr="00D57A3A">
        <w:rPr>
          <w:color w:val="FF0000"/>
        </w:rPr>
        <w:t>”</w:t>
      </w:r>
      <w:r w:rsidR="00194C51" w:rsidRPr="00D57A3A">
        <w:rPr>
          <w:color w:val="FF0000"/>
        </w:rPr>
        <w:t xml:space="preserve"> is </w:t>
      </w:r>
      <w:r w:rsidR="00367893" w:rsidRPr="00D57A3A">
        <w:rPr>
          <w:color w:val="FF0000"/>
        </w:rPr>
        <w:t xml:space="preserve">also </w:t>
      </w:r>
      <w:r w:rsidR="00194C51" w:rsidRPr="00D57A3A">
        <w:rPr>
          <w:color w:val="FF0000"/>
        </w:rPr>
        <w:t xml:space="preserve">a </w:t>
      </w:r>
      <w:r w:rsidR="00492A9B" w:rsidRPr="00D57A3A">
        <w:rPr>
          <w:color w:val="FF0000"/>
        </w:rPr>
        <w:t>“</w:t>
      </w:r>
      <w:r w:rsidR="00194C51" w:rsidRPr="00D57A3A">
        <w:rPr>
          <w:color w:val="FF0000"/>
        </w:rPr>
        <w:t>covered transaction</w:t>
      </w:r>
      <w:r w:rsidR="00492A9B" w:rsidRPr="00D57A3A">
        <w:rPr>
          <w:color w:val="FF0000"/>
        </w:rPr>
        <w:t>”</w:t>
      </w:r>
      <w:r w:rsidR="00194C51" w:rsidRPr="00D57A3A">
        <w:rPr>
          <w:color w:val="FF0000"/>
        </w:rPr>
        <w:t xml:space="preserve"> if </w:t>
      </w:r>
      <w:r w:rsidR="00ED40FF" w:rsidRPr="00D57A3A">
        <w:rPr>
          <w:color w:val="FF0000"/>
        </w:rPr>
        <w:t xml:space="preserve">(1) </w:t>
      </w:r>
      <w:r w:rsidR="00784083" w:rsidRPr="00D57A3A">
        <w:rPr>
          <w:color w:val="FF0000"/>
        </w:rPr>
        <w:t>“</w:t>
      </w:r>
      <w:r w:rsidR="00ED40FF" w:rsidRPr="00D57A3A">
        <w:rPr>
          <w:color w:val="FF0000"/>
        </w:rPr>
        <w:t xml:space="preserve">[i]t is awarded by a participant in a procurement transaction under a </w:t>
      </w:r>
      <w:proofErr w:type="spellStart"/>
      <w:r w:rsidR="00ED40FF" w:rsidRPr="00D57A3A">
        <w:rPr>
          <w:color w:val="FF0000"/>
        </w:rPr>
        <w:t>nonprocurement</w:t>
      </w:r>
      <w:proofErr w:type="spellEnd"/>
      <w:r w:rsidR="00ED40FF" w:rsidRPr="00D57A3A">
        <w:rPr>
          <w:color w:val="FF0000"/>
        </w:rPr>
        <w:t xml:space="preserve"> transaction of a Federal agency that extends</w:t>
      </w:r>
      <w:r w:rsidR="001F31CF" w:rsidRPr="00D57A3A">
        <w:rPr>
          <w:color w:val="FF0000"/>
        </w:rPr>
        <w:t xml:space="preserve"> the coverage of</w:t>
      </w:r>
      <w:r w:rsidR="002E6AF1" w:rsidRPr="00D57A3A">
        <w:rPr>
          <w:color w:val="FF0000"/>
        </w:rPr>
        <w:t xml:space="preserve"> [2 C.F.R. § 180.220(b)(1)] </w:t>
      </w:r>
      <w:r w:rsidR="00492A9B" w:rsidRPr="00D57A3A">
        <w:rPr>
          <w:color w:val="FF0000"/>
        </w:rPr>
        <w:t>“</w:t>
      </w:r>
      <w:r w:rsidR="002E6AF1" w:rsidRPr="00D57A3A">
        <w:rPr>
          <w:color w:val="FF0000"/>
        </w:rPr>
        <w:t xml:space="preserve">to </w:t>
      </w:r>
      <w:r w:rsidR="007F077C" w:rsidRPr="00D57A3A">
        <w:rPr>
          <w:color w:val="FF0000"/>
        </w:rPr>
        <w:t xml:space="preserve">additional tiers of contracts . . . ; and (2) [t]he value of the subcontract is expected to equal or exceed </w:t>
      </w:r>
      <w:r w:rsidR="00600F94" w:rsidRPr="00D57A3A">
        <w:rPr>
          <w:color w:val="FF0000"/>
        </w:rPr>
        <w:t>$25,000.</w:t>
      </w:r>
      <w:r w:rsidR="00492A9B" w:rsidRPr="00D57A3A">
        <w:rPr>
          <w:color w:val="FF0000"/>
        </w:rPr>
        <w:t>”</w:t>
      </w:r>
      <w:r w:rsidR="00600F94" w:rsidRPr="00D57A3A">
        <w:rPr>
          <w:color w:val="FF0000"/>
        </w:rPr>
        <w:t xml:space="preserve">  </w:t>
      </w:r>
      <w:r w:rsidR="00F82DF8" w:rsidRPr="00D57A3A">
        <w:rPr>
          <w:color w:val="FF0000"/>
        </w:rPr>
        <w:t xml:space="preserve">Unlike implementing regulations </w:t>
      </w:r>
      <w:r w:rsidR="005271E1" w:rsidRPr="00D57A3A">
        <w:rPr>
          <w:color w:val="FF0000"/>
        </w:rPr>
        <w:t xml:space="preserve">adopted by several other </w:t>
      </w:r>
      <w:r w:rsidR="00557710" w:rsidRPr="00D57A3A">
        <w:rPr>
          <w:color w:val="FF0000"/>
        </w:rPr>
        <w:t>federal agencies</w:t>
      </w:r>
      <w:r w:rsidR="00CE3946" w:rsidRPr="00D57A3A">
        <w:rPr>
          <w:color w:val="FF0000"/>
        </w:rPr>
        <w:t xml:space="preserve"> (e.g., the</w:t>
      </w:r>
      <w:r w:rsidR="00B376CF" w:rsidRPr="00D57A3A">
        <w:rPr>
          <w:color w:val="FF0000"/>
        </w:rPr>
        <w:t xml:space="preserve"> </w:t>
      </w:r>
      <w:r w:rsidR="00931B0C" w:rsidRPr="00D57A3A">
        <w:rPr>
          <w:color w:val="FF0000"/>
        </w:rPr>
        <w:t>Department of Health and Human Services</w:t>
      </w:r>
      <w:r w:rsidR="00CE3946" w:rsidRPr="00D57A3A">
        <w:rPr>
          <w:color w:val="FF0000"/>
        </w:rPr>
        <w:t>)</w:t>
      </w:r>
      <w:r w:rsidR="00557710" w:rsidRPr="00D57A3A">
        <w:rPr>
          <w:color w:val="FF0000"/>
        </w:rPr>
        <w:t>, the Department of Treasury</w:t>
      </w:r>
      <w:r w:rsidR="00492A9B" w:rsidRPr="00D57A3A">
        <w:rPr>
          <w:color w:val="FF0000"/>
        </w:rPr>
        <w:t>’</w:t>
      </w:r>
      <w:r w:rsidR="00557710" w:rsidRPr="00D57A3A">
        <w:rPr>
          <w:color w:val="FF0000"/>
        </w:rPr>
        <w:t xml:space="preserve">s implementing regulations do not expressly extend the coverage </w:t>
      </w:r>
      <w:r w:rsidR="00493969" w:rsidRPr="00D57A3A">
        <w:rPr>
          <w:color w:val="FF0000"/>
        </w:rPr>
        <w:t>of 2 C.F.R. § 180.220(b)(</w:t>
      </w:r>
      <w:r w:rsidR="005318C7">
        <w:rPr>
          <w:color w:val="FF0000"/>
        </w:rPr>
        <w:t>3</w:t>
      </w:r>
      <w:r w:rsidR="00493969" w:rsidRPr="00D57A3A">
        <w:rPr>
          <w:color w:val="FF0000"/>
        </w:rPr>
        <w:t xml:space="preserve">) to lower-tier subcontracts </w:t>
      </w:r>
      <w:r w:rsidR="00493969" w:rsidRPr="006D2680">
        <w:rPr>
          <w:i/>
          <w:iCs/>
          <w:color w:val="FF0000"/>
        </w:rPr>
        <w:t>under</w:t>
      </w:r>
      <w:r w:rsidR="00493969" w:rsidRPr="00D57A3A">
        <w:rPr>
          <w:color w:val="FF0000"/>
        </w:rPr>
        <w:t xml:space="preserve"> covered </w:t>
      </w:r>
      <w:proofErr w:type="spellStart"/>
      <w:r w:rsidR="00493969" w:rsidRPr="00D57A3A">
        <w:rPr>
          <w:color w:val="FF0000"/>
        </w:rPr>
        <w:t>nonprocurement</w:t>
      </w:r>
      <w:proofErr w:type="spellEnd"/>
      <w:r w:rsidR="00493969" w:rsidRPr="00D57A3A">
        <w:rPr>
          <w:color w:val="FF0000"/>
        </w:rPr>
        <w:t xml:space="preserve"> trans</w:t>
      </w:r>
      <w:r w:rsidR="00CE3946" w:rsidRPr="00D57A3A">
        <w:rPr>
          <w:color w:val="FF0000"/>
        </w:rPr>
        <w:t>actions</w:t>
      </w:r>
      <w:r w:rsidR="004B5875" w:rsidRPr="00D57A3A">
        <w:rPr>
          <w:color w:val="FF0000"/>
        </w:rPr>
        <w:t xml:space="preserve">.  </w:t>
      </w:r>
      <w:r w:rsidR="004B5875" w:rsidRPr="00D57A3A">
        <w:rPr>
          <w:i/>
          <w:iCs/>
          <w:color w:val="FF0000"/>
        </w:rPr>
        <w:t xml:space="preserve">Compare </w:t>
      </w:r>
      <w:hyperlink r:id="rId62" w:history="1">
        <w:r w:rsidR="00557710" w:rsidRPr="00516981">
          <w:rPr>
            <w:rStyle w:val="Hyperlink"/>
          </w:rPr>
          <w:t>2 C.F.R. § 376.220</w:t>
        </w:r>
      </w:hyperlink>
      <w:r w:rsidR="00B376CF" w:rsidRPr="00D57A3A">
        <w:rPr>
          <w:color w:val="FF0000"/>
        </w:rPr>
        <w:t xml:space="preserve"> </w:t>
      </w:r>
      <w:r w:rsidR="00F82DF8" w:rsidRPr="00D57A3A">
        <w:rPr>
          <w:color w:val="FF0000"/>
        </w:rPr>
        <w:t>(</w:t>
      </w:r>
      <w:r w:rsidR="00492A9B" w:rsidRPr="00D57A3A">
        <w:rPr>
          <w:color w:val="FF0000"/>
        </w:rPr>
        <w:t>“</w:t>
      </w:r>
      <w:r w:rsidR="00931B0C" w:rsidRPr="00D57A3A">
        <w:rPr>
          <w:color w:val="FF0000"/>
        </w:rPr>
        <w:t xml:space="preserve">In addition to the contracts covered under 2 C.F.R. § 180.220(b), this part also applies to all lower tiers of subcontracts under covered </w:t>
      </w:r>
      <w:proofErr w:type="spellStart"/>
      <w:r w:rsidR="00931B0C" w:rsidRPr="00D57A3A">
        <w:rPr>
          <w:color w:val="FF0000"/>
        </w:rPr>
        <w:t>nonprocurement</w:t>
      </w:r>
      <w:proofErr w:type="spellEnd"/>
      <w:r w:rsidR="00931B0C" w:rsidRPr="00D57A3A">
        <w:rPr>
          <w:color w:val="FF0000"/>
        </w:rPr>
        <w:t xml:space="preserve"> transactions, as permitted under the OMB guidance at 2 C.F.R. § 180.220(c).</w:t>
      </w:r>
      <w:r w:rsidR="00492A9B" w:rsidRPr="00D57A3A">
        <w:rPr>
          <w:color w:val="FF0000"/>
        </w:rPr>
        <w:t>”</w:t>
      </w:r>
      <w:r w:rsidR="00931B0C" w:rsidRPr="00D57A3A">
        <w:rPr>
          <w:color w:val="FF0000"/>
        </w:rPr>
        <w:t xml:space="preserve">) </w:t>
      </w:r>
      <w:r w:rsidR="00931B0C" w:rsidRPr="00D57A3A">
        <w:rPr>
          <w:i/>
          <w:iCs/>
          <w:color w:val="FF0000"/>
        </w:rPr>
        <w:t xml:space="preserve">with </w:t>
      </w:r>
      <w:hyperlink r:id="rId63" w:history="1">
        <w:r w:rsidR="00931B0C" w:rsidRPr="00CB6FC5">
          <w:rPr>
            <w:rStyle w:val="Hyperlink"/>
          </w:rPr>
          <w:t xml:space="preserve">31 C.F.R. § </w:t>
        </w:r>
        <w:r w:rsidR="00F55F68" w:rsidRPr="00CB6FC5">
          <w:rPr>
            <w:rStyle w:val="Hyperlink"/>
          </w:rPr>
          <w:t>19.220(b)</w:t>
        </w:r>
      </w:hyperlink>
      <w:r w:rsidR="00144242" w:rsidRPr="00D57A3A">
        <w:rPr>
          <w:color w:val="FF0000"/>
        </w:rPr>
        <w:t>.</w:t>
      </w:r>
      <w:r w:rsidR="00E1112E" w:rsidRPr="00D57A3A">
        <w:rPr>
          <w:color w:val="FF0000"/>
        </w:rPr>
        <w:t xml:space="preserve">  </w:t>
      </w:r>
      <w:r w:rsidR="00FF7E31" w:rsidRPr="00D57A3A">
        <w:rPr>
          <w:color w:val="FF0000"/>
        </w:rPr>
        <w:t>Even though</w:t>
      </w:r>
      <w:r w:rsidR="00E1112E" w:rsidRPr="00D57A3A">
        <w:rPr>
          <w:color w:val="FF0000"/>
        </w:rPr>
        <w:t xml:space="preserve"> the Treasury implementing regulations do not extend coverage</w:t>
      </w:r>
      <w:r w:rsidR="00566576" w:rsidRPr="00D57A3A">
        <w:rPr>
          <w:color w:val="FF0000"/>
        </w:rPr>
        <w:t xml:space="preserve"> to subcontracts described in 2 C.F.R. § 180.220(b)(3)</w:t>
      </w:r>
      <w:r w:rsidR="00E1112E" w:rsidRPr="00D57A3A">
        <w:rPr>
          <w:color w:val="FF0000"/>
        </w:rPr>
        <w:t>,</w:t>
      </w:r>
      <w:r w:rsidR="00367893" w:rsidRPr="00D57A3A">
        <w:rPr>
          <w:color w:val="FF0000"/>
        </w:rPr>
        <w:t xml:space="preserve"> the language of</w:t>
      </w:r>
      <w:r w:rsidR="00E1112E" w:rsidRPr="00D57A3A">
        <w:rPr>
          <w:color w:val="FF0000"/>
        </w:rPr>
        <w:t xml:space="preserve"> § 9(b)(iv) of the </w:t>
      </w:r>
      <w:r w:rsidR="00CB6FC5">
        <w:rPr>
          <w:color w:val="FF0000"/>
        </w:rPr>
        <w:t>Local FRF Award Terms</w:t>
      </w:r>
      <w:r w:rsidR="00E1112E" w:rsidRPr="00D57A3A">
        <w:rPr>
          <w:color w:val="FF0000"/>
        </w:rPr>
        <w:t xml:space="preserve"> may</w:t>
      </w:r>
      <w:r w:rsidR="00497028" w:rsidRPr="00D57A3A">
        <w:rPr>
          <w:color w:val="FF0000"/>
        </w:rPr>
        <w:t xml:space="preserve"> extend coverage to these subcontracts</w:t>
      </w:r>
      <w:r w:rsidR="00E1112E" w:rsidRPr="00D57A3A">
        <w:rPr>
          <w:color w:val="FF0000"/>
        </w:rPr>
        <w:t>.</w:t>
      </w:r>
      <w:r w:rsidR="00FF7E31" w:rsidRPr="00D57A3A">
        <w:rPr>
          <w:color w:val="FF0000"/>
        </w:rPr>
        <w:t xml:space="preserve">  </w:t>
      </w:r>
      <w:r w:rsidR="00FF7E31" w:rsidRPr="00D57A3A">
        <w:rPr>
          <w:i/>
          <w:iCs/>
          <w:color w:val="FF0000"/>
        </w:rPr>
        <w:t>See</w:t>
      </w:r>
      <w:r w:rsidR="00FF7E31" w:rsidRPr="00D57A3A">
        <w:rPr>
          <w:color w:val="FF0000"/>
        </w:rPr>
        <w:t xml:space="preserve"> </w:t>
      </w:r>
      <w:r w:rsidR="006E377B">
        <w:rPr>
          <w:i/>
          <w:iCs/>
          <w:color w:val="FF0000"/>
        </w:rPr>
        <w:t>supra</w:t>
      </w:r>
      <w:r w:rsidR="006E377B" w:rsidRPr="00D57A3A">
        <w:rPr>
          <w:color w:val="FF0000"/>
        </w:rPr>
        <w:t xml:space="preserve"> </w:t>
      </w:r>
      <w:r w:rsidR="00FF7E31" w:rsidRPr="00D57A3A">
        <w:rPr>
          <w:color w:val="FF0000"/>
        </w:rPr>
        <w:t xml:space="preserve">Note </w:t>
      </w:r>
      <w:r w:rsidR="00CB6FC5">
        <w:rPr>
          <w:color w:val="FF0000"/>
          <w:highlight w:val="yellow"/>
        </w:rPr>
        <w:fldChar w:fldCharType="begin"/>
      </w:r>
      <w:r w:rsidR="00CB6FC5">
        <w:rPr>
          <w:color w:val="FF0000"/>
        </w:rPr>
        <w:instrText xml:space="preserve"> NOTEREF _Ref98245958 \h </w:instrText>
      </w:r>
      <w:r w:rsidR="00CB6FC5">
        <w:rPr>
          <w:color w:val="FF0000"/>
          <w:highlight w:val="yellow"/>
        </w:rPr>
      </w:r>
      <w:r w:rsidR="00CB6FC5">
        <w:rPr>
          <w:color w:val="FF0000"/>
          <w:highlight w:val="yellow"/>
        </w:rPr>
        <w:fldChar w:fldCharType="separate"/>
      </w:r>
      <w:r w:rsidR="00CB6FC5">
        <w:rPr>
          <w:color w:val="FF0000"/>
        </w:rPr>
        <w:t>13</w:t>
      </w:r>
      <w:r w:rsidR="00CB6FC5">
        <w:rPr>
          <w:color w:val="FF0000"/>
          <w:highlight w:val="yellow"/>
        </w:rPr>
        <w:fldChar w:fldCharType="end"/>
      </w:r>
      <w:r w:rsidR="00FF7E31" w:rsidRPr="00D57A3A">
        <w:rPr>
          <w:color w:val="FF0000"/>
        </w:rPr>
        <w:t xml:space="preserve"> (noting that § 9(b)(iv) of the </w:t>
      </w:r>
      <w:r w:rsidR="006E377B">
        <w:rPr>
          <w:color w:val="FF0000"/>
        </w:rPr>
        <w:t>Local FRF Award Terms and Conditions</w:t>
      </w:r>
      <w:r w:rsidR="008A52D6" w:rsidRPr="00D57A3A">
        <w:rPr>
          <w:color w:val="FF0000"/>
        </w:rPr>
        <w:t xml:space="preserve"> require including a “term or condition in all lower-tier covered transactions (contracts and subcontracts described in 2 C.F.R Part 180, subpart B</w:t>
      </w:r>
      <w:r w:rsidR="009D0E38" w:rsidRPr="00D57A3A">
        <w:rPr>
          <w:color w:val="FF0000"/>
        </w:rPr>
        <w:t>) that the award is subject to 2 C.F.R. Part 180 and Treasury’s implementing regulation at 31 C.F.R. Part 19.”</w:t>
      </w:r>
      <w:r w:rsidR="00FF7E31" w:rsidRPr="00D57A3A">
        <w:rPr>
          <w:color w:val="FF0000"/>
        </w:rPr>
        <w:t xml:space="preserve">).  </w:t>
      </w:r>
      <w:r w:rsidR="00575759" w:rsidRPr="0074184B">
        <w:rPr>
          <w:color w:val="FF0000"/>
          <w:u w:val="single"/>
        </w:rPr>
        <w:t>Section VI</w:t>
      </w:r>
      <w:r w:rsidR="006F12A1" w:rsidRPr="0074184B">
        <w:rPr>
          <w:color w:val="FF0000"/>
          <w:u w:val="single"/>
        </w:rPr>
        <w:t>I</w:t>
      </w:r>
      <w:r w:rsidR="00575759" w:rsidRPr="00D57A3A">
        <w:rPr>
          <w:color w:val="FF0000"/>
        </w:rPr>
        <w:t xml:space="preserve"> gives effect to this requirement</w:t>
      </w:r>
      <w:r w:rsidR="006A65DF" w:rsidRPr="00D57A3A">
        <w:rPr>
          <w:color w:val="FF0000"/>
        </w:rPr>
        <w:t>.</w:t>
      </w:r>
    </w:p>
  </w:footnote>
  <w:footnote w:id="36">
    <w:p w14:paraId="52729D27" w14:textId="47BC82FF" w:rsidR="00171B14" w:rsidRPr="00D57A3A" w:rsidRDefault="00171B14"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00413D56" w:rsidRPr="0074184B">
        <w:rPr>
          <w:color w:val="FF0000"/>
          <w:u w:val="single"/>
        </w:rPr>
        <w:t>Section VII</w:t>
      </w:r>
      <w:r w:rsidR="006F12A1" w:rsidRPr="0074184B">
        <w:rPr>
          <w:color w:val="FF0000"/>
          <w:u w:val="single"/>
        </w:rPr>
        <w:t>I</w:t>
      </w:r>
      <w:r w:rsidR="00413D56" w:rsidRPr="00D57A3A">
        <w:rPr>
          <w:color w:val="FF0000"/>
        </w:rPr>
        <w:t xml:space="preserve"> satisfies the requirements of </w:t>
      </w:r>
      <w:r w:rsidR="006D1377" w:rsidRPr="00D57A3A">
        <w:rPr>
          <w:color w:val="FF0000"/>
        </w:rPr>
        <w:t>Appendix II, § (</w:t>
      </w:r>
      <w:r w:rsidR="00EF5D96" w:rsidRPr="00D57A3A">
        <w:rPr>
          <w:color w:val="FF0000"/>
        </w:rPr>
        <w:t>I</w:t>
      </w:r>
      <w:r w:rsidR="006D1377" w:rsidRPr="00D57A3A">
        <w:rPr>
          <w:color w:val="FF0000"/>
        </w:rPr>
        <w:t>)</w:t>
      </w:r>
      <w:r w:rsidR="00EF5D96" w:rsidRPr="00D57A3A">
        <w:rPr>
          <w:color w:val="FF0000"/>
        </w:rPr>
        <w:t xml:space="preserve"> and § 9(b)(</w:t>
      </w:r>
      <w:r w:rsidR="00E375E4" w:rsidRPr="00D57A3A">
        <w:rPr>
          <w:color w:val="FF0000"/>
        </w:rPr>
        <w:t xml:space="preserve">vii) of the </w:t>
      </w:r>
      <w:r w:rsidR="005649F3" w:rsidRPr="00D57A3A">
        <w:rPr>
          <w:color w:val="FF0000"/>
        </w:rPr>
        <w:t xml:space="preserve">of the </w:t>
      </w:r>
      <w:hyperlink r:id="rId64" w:history="1">
        <w:r w:rsidR="00EA4B14">
          <w:rPr>
            <w:rStyle w:val="Hyperlink"/>
            <w:color w:val="FF0000"/>
          </w:rPr>
          <w:t>Local</w:t>
        </w:r>
      </w:hyperlink>
      <w:r w:rsidR="00EA4B14">
        <w:rPr>
          <w:rStyle w:val="Hyperlink"/>
          <w:color w:val="FF0000"/>
        </w:rPr>
        <w:t xml:space="preserve"> FRF Award Terms</w:t>
      </w:r>
      <w:r w:rsidR="005649F3" w:rsidRPr="00D57A3A">
        <w:rPr>
          <w:color w:val="FF0000"/>
        </w:rPr>
        <w:t xml:space="preserve">. § 9(b)(vii) of the </w:t>
      </w:r>
      <w:r w:rsidR="00EA4B14">
        <w:rPr>
          <w:color w:val="FF0000"/>
        </w:rPr>
        <w:t>Local FRF Award Terms</w:t>
      </w:r>
      <w:r w:rsidR="005649F3" w:rsidRPr="00D57A3A">
        <w:rPr>
          <w:color w:val="FF0000"/>
        </w:rPr>
        <w:t xml:space="preserve"> requires recipients and subrecipients of monies from the Fiscal Recovery Funds to abide by </w:t>
      </w:r>
      <w:hyperlink r:id="rId65" w:history="1">
        <w:r w:rsidR="005649F3" w:rsidRPr="00EA4B14">
          <w:rPr>
            <w:rStyle w:val="Hyperlink"/>
          </w:rPr>
          <w:t>31 C.F.R. Part 21</w:t>
        </w:r>
      </w:hyperlink>
      <w:r w:rsidR="002574EF" w:rsidRPr="00D57A3A">
        <w:rPr>
          <w:color w:val="FF0000"/>
        </w:rPr>
        <w:t>, which implements the provisions of the Byrd Anti-Lobbying Amendment (</w:t>
      </w:r>
      <w:hyperlink r:id="rId66" w:history="1">
        <w:r w:rsidRPr="00B82512">
          <w:rPr>
            <w:rStyle w:val="Hyperlink"/>
          </w:rPr>
          <w:t>31 U.S.C. § 1352</w:t>
        </w:r>
      </w:hyperlink>
      <w:r w:rsidR="002574EF" w:rsidRPr="00D57A3A">
        <w:rPr>
          <w:color w:val="FF0000"/>
        </w:rPr>
        <w:t xml:space="preserve">).  The statute and </w:t>
      </w:r>
      <w:r w:rsidR="00816AB5" w:rsidRPr="00D57A3A">
        <w:rPr>
          <w:color w:val="FF0000"/>
        </w:rPr>
        <w:t>Treasury’s</w:t>
      </w:r>
      <w:r w:rsidR="002574EF" w:rsidRPr="00D57A3A">
        <w:rPr>
          <w:color w:val="FF0000"/>
        </w:rPr>
        <w:t xml:space="preserve"> implementing regulations</w:t>
      </w:r>
      <w:r w:rsidRPr="00D57A3A">
        <w:rPr>
          <w:color w:val="FF0000"/>
        </w:rPr>
        <w:t xml:space="preserve"> </w:t>
      </w:r>
      <w:r w:rsidR="00F07D50" w:rsidRPr="00D57A3A">
        <w:rPr>
          <w:color w:val="FF0000"/>
        </w:rPr>
        <w:t>prohibit</w:t>
      </w:r>
      <w:r w:rsidR="009A45DF" w:rsidRPr="00D57A3A">
        <w:rPr>
          <w:color w:val="FF0000"/>
        </w:rPr>
        <w:t xml:space="preserve"> </w:t>
      </w:r>
      <w:r w:rsidR="00D84380" w:rsidRPr="00D57A3A">
        <w:rPr>
          <w:color w:val="FF0000"/>
        </w:rPr>
        <w:t>recipient</w:t>
      </w:r>
      <w:r w:rsidR="002574EF" w:rsidRPr="00D57A3A">
        <w:rPr>
          <w:color w:val="FF0000"/>
        </w:rPr>
        <w:t xml:space="preserve">s </w:t>
      </w:r>
      <w:r w:rsidR="00D84380" w:rsidRPr="00D57A3A">
        <w:rPr>
          <w:color w:val="FF0000"/>
        </w:rPr>
        <w:t>of Federal</w:t>
      </w:r>
      <w:r w:rsidR="0073502B" w:rsidRPr="00D57A3A">
        <w:rPr>
          <w:color w:val="FF0000"/>
        </w:rPr>
        <w:t xml:space="preserve">ly appropriated </w:t>
      </w:r>
      <w:r w:rsidR="00D84380" w:rsidRPr="00D57A3A">
        <w:rPr>
          <w:color w:val="FF0000"/>
        </w:rPr>
        <w:t>funds from using those funds to lobby</w:t>
      </w:r>
      <w:r w:rsidR="00091D12" w:rsidRPr="00D57A3A">
        <w:rPr>
          <w:color w:val="FF0000"/>
        </w:rPr>
        <w:t xml:space="preserve"> federal agencies or Congress to obtain</w:t>
      </w:r>
      <w:r w:rsidR="00DF6CDF" w:rsidRPr="00D57A3A">
        <w:rPr>
          <w:color w:val="FF0000"/>
        </w:rPr>
        <w:t>, extend, or modify an award</w:t>
      </w:r>
      <w:r w:rsidR="00816AB5" w:rsidRPr="00D57A3A">
        <w:rPr>
          <w:color w:val="FF0000"/>
        </w:rPr>
        <w:t xml:space="preserve"> of </w:t>
      </w:r>
      <w:r w:rsidR="00146B37" w:rsidRPr="00D57A3A">
        <w:rPr>
          <w:color w:val="FF0000"/>
        </w:rPr>
        <w:t>Federal</w:t>
      </w:r>
      <w:r w:rsidR="00816AB5" w:rsidRPr="00D57A3A">
        <w:rPr>
          <w:color w:val="FF0000"/>
        </w:rPr>
        <w:t xml:space="preserve"> funds</w:t>
      </w:r>
      <w:r w:rsidR="005A32AC" w:rsidRPr="00D57A3A">
        <w:rPr>
          <w:color w:val="FF0000"/>
        </w:rPr>
        <w:t xml:space="preserve">.  </w:t>
      </w:r>
      <w:r w:rsidR="005A32AC" w:rsidRPr="00D57A3A">
        <w:rPr>
          <w:i/>
          <w:iCs/>
          <w:color w:val="FF0000"/>
        </w:rPr>
        <w:t>See</w:t>
      </w:r>
      <w:r w:rsidR="005A32AC" w:rsidRPr="00D57A3A">
        <w:rPr>
          <w:color w:val="FF0000"/>
        </w:rPr>
        <w:t xml:space="preserve"> </w:t>
      </w:r>
      <w:hyperlink r:id="rId67" w:history="1">
        <w:r w:rsidR="005A32AC" w:rsidRPr="00B82512">
          <w:rPr>
            <w:rStyle w:val="Hyperlink"/>
          </w:rPr>
          <w:t>31 U.S.C. § 1352(a)(1)</w:t>
        </w:r>
      </w:hyperlink>
      <w:r w:rsidR="005A32AC" w:rsidRPr="00D57A3A">
        <w:rPr>
          <w:color w:val="FF0000"/>
        </w:rPr>
        <w:t xml:space="preserve">; </w:t>
      </w:r>
      <w:hyperlink r:id="rId68" w:history="1">
        <w:r w:rsidR="005A32AC" w:rsidRPr="00C24A98">
          <w:rPr>
            <w:rStyle w:val="Hyperlink"/>
          </w:rPr>
          <w:t>31 C.F.R. § 21.100(a)</w:t>
        </w:r>
      </w:hyperlink>
      <w:r w:rsidR="005A32AC" w:rsidRPr="00D57A3A">
        <w:rPr>
          <w:color w:val="FF0000"/>
        </w:rPr>
        <w:t>.  They also require</w:t>
      </w:r>
      <w:r w:rsidR="0093769B" w:rsidRPr="00D57A3A">
        <w:rPr>
          <w:color w:val="FF0000"/>
        </w:rPr>
        <w:t xml:space="preserve"> </w:t>
      </w:r>
      <w:r w:rsidR="008B03AD" w:rsidRPr="00D57A3A">
        <w:rPr>
          <w:color w:val="FF0000"/>
        </w:rPr>
        <w:t>Treasury</w:t>
      </w:r>
      <w:r w:rsidR="0093769B" w:rsidRPr="00D57A3A">
        <w:rPr>
          <w:color w:val="FF0000"/>
        </w:rPr>
        <w:t xml:space="preserve"> grant</w:t>
      </w:r>
      <w:r w:rsidR="005A32AC" w:rsidRPr="00D57A3A">
        <w:rPr>
          <w:color w:val="FF0000"/>
        </w:rPr>
        <w:t xml:space="preserve"> </w:t>
      </w:r>
      <w:r w:rsidR="005F2193" w:rsidRPr="00D57A3A">
        <w:rPr>
          <w:color w:val="FF0000"/>
        </w:rPr>
        <w:t xml:space="preserve">recipients </w:t>
      </w:r>
      <w:r w:rsidR="0093769B" w:rsidRPr="00D57A3A">
        <w:rPr>
          <w:color w:val="FF0000"/>
        </w:rPr>
        <w:t xml:space="preserve">to (1) certify that the </w:t>
      </w:r>
      <w:r w:rsidR="0073502B" w:rsidRPr="00D57A3A">
        <w:rPr>
          <w:color w:val="FF0000"/>
        </w:rPr>
        <w:t xml:space="preserve">recipient has not made and will not make any prohibited payment of </w:t>
      </w:r>
      <w:r w:rsidR="00F470D0" w:rsidRPr="00D57A3A">
        <w:rPr>
          <w:color w:val="FF0000"/>
        </w:rPr>
        <w:t>Federal grant</w:t>
      </w:r>
      <w:r w:rsidR="0073502B" w:rsidRPr="00D57A3A">
        <w:rPr>
          <w:color w:val="FF0000"/>
        </w:rPr>
        <w:t xml:space="preserve"> funds</w:t>
      </w:r>
      <w:r w:rsidR="00620F40" w:rsidRPr="00D57A3A">
        <w:rPr>
          <w:color w:val="FF0000"/>
        </w:rPr>
        <w:t xml:space="preserve"> (</w:t>
      </w:r>
      <w:hyperlink r:id="rId69" w:history="1">
        <w:r w:rsidR="00620F40" w:rsidRPr="00B82512">
          <w:rPr>
            <w:rStyle w:val="Hyperlink"/>
          </w:rPr>
          <w:t>31 U.S.C. § 1352(b)(2)(A)</w:t>
        </w:r>
      </w:hyperlink>
      <w:r w:rsidR="00620F40" w:rsidRPr="00D57A3A">
        <w:rPr>
          <w:color w:val="FF0000"/>
        </w:rPr>
        <w:t xml:space="preserve">; </w:t>
      </w:r>
      <w:hyperlink r:id="rId70" w:history="1">
        <w:r w:rsidR="00620F40" w:rsidRPr="00C24A98">
          <w:rPr>
            <w:rStyle w:val="Hyperlink"/>
          </w:rPr>
          <w:t xml:space="preserve">31 C.F.R. § </w:t>
        </w:r>
        <w:r w:rsidR="006B5EDD" w:rsidRPr="00C24A98">
          <w:rPr>
            <w:rStyle w:val="Hyperlink"/>
          </w:rPr>
          <w:t>2</w:t>
        </w:r>
        <w:r w:rsidR="00E73BEA" w:rsidRPr="00C24A98">
          <w:rPr>
            <w:rStyle w:val="Hyperlink"/>
          </w:rPr>
          <w:t>1.110(a)(1)</w:t>
        </w:r>
        <w:r w:rsidR="00F71818" w:rsidRPr="00C24A98">
          <w:rPr>
            <w:rStyle w:val="Hyperlink"/>
          </w:rPr>
          <w:t xml:space="preserve"> and (b)</w:t>
        </w:r>
        <w:r w:rsidR="00F470D0" w:rsidRPr="00C24A98">
          <w:rPr>
            <w:rStyle w:val="Hyperlink"/>
          </w:rPr>
          <w:t>(1)</w:t>
        </w:r>
      </w:hyperlink>
      <w:r w:rsidR="00E73BEA" w:rsidRPr="00D57A3A">
        <w:rPr>
          <w:color w:val="FF0000"/>
        </w:rPr>
        <w:t xml:space="preserve"> (for grants exceeding $100,000</w:t>
      </w:r>
      <w:r w:rsidR="00620F40" w:rsidRPr="00D57A3A">
        <w:rPr>
          <w:color w:val="FF0000"/>
        </w:rPr>
        <w:t>)</w:t>
      </w:r>
      <w:r w:rsidR="008B03AD" w:rsidRPr="00D57A3A">
        <w:rPr>
          <w:color w:val="FF0000"/>
        </w:rPr>
        <w:t>)</w:t>
      </w:r>
      <w:r w:rsidR="0073502B" w:rsidRPr="00D57A3A">
        <w:rPr>
          <w:color w:val="FF0000"/>
        </w:rPr>
        <w:t xml:space="preserve"> and (2) </w:t>
      </w:r>
      <w:r w:rsidR="00620F40" w:rsidRPr="00D57A3A">
        <w:rPr>
          <w:color w:val="FF0000"/>
        </w:rPr>
        <w:t>disclose</w:t>
      </w:r>
      <w:r w:rsidR="008B03AD" w:rsidRPr="00D57A3A">
        <w:rPr>
          <w:color w:val="FF0000"/>
        </w:rPr>
        <w:t xml:space="preserve"> any payments made for lobbying</w:t>
      </w:r>
      <w:r w:rsidR="00FB18F3" w:rsidRPr="00D57A3A">
        <w:rPr>
          <w:color w:val="FF0000"/>
        </w:rPr>
        <w:t xml:space="preserve"> services in connection with a Federal grant even if paid for with non-Federal funds (</w:t>
      </w:r>
      <w:hyperlink r:id="rId71" w:history="1">
        <w:r w:rsidR="00FB18F3" w:rsidRPr="00A863F7">
          <w:rPr>
            <w:rStyle w:val="Hyperlink"/>
          </w:rPr>
          <w:t>31 U.S.C. § 1352(b)(2)(B)</w:t>
        </w:r>
      </w:hyperlink>
      <w:r w:rsidR="00FB18F3" w:rsidRPr="00D57A3A">
        <w:rPr>
          <w:color w:val="FF0000"/>
        </w:rPr>
        <w:t xml:space="preserve">; </w:t>
      </w:r>
      <w:hyperlink r:id="rId72" w:history="1">
        <w:r w:rsidR="00FB18F3" w:rsidRPr="00A863F7">
          <w:rPr>
            <w:rStyle w:val="Hyperlink"/>
          </w:rPr>
          <w:t>31 C.F.R. § 21.110(</w:t>
        </w:r>
        <w:r w:rsidR="009A5320" w:rsidRPr="00A863F7">
          <w:rPr>
            <w:rStyle w:val="Hyperlink"/>
          </w:rPr>
          <w:t>a)(</w:t>
        </w:r>
        <w:r w:rsidR="00F71818" w:rsidRPr="00A863F7">
          <w:rPr>
            <w:rStyle w:val="Hyperlink"/>
          </w:rPr>
          <w:t>1) and (b)(1)</w:t>
        </w:r>
      </w:hyperlink>
      <w:r w:rsidR="00642A51" w:rsidRPr="00D57A3A">
        <w:rPr>
          <w:color w:val="FF0000"/>
        </w:rPr>
        <w:t xml:space="preserve"> (for grants exceeding $100,000)</w:t>
      </w:r>
      <w:r w:rsidR="006060DF" w:rsidRPr="00D57A3A">
        <w:rPr>
          <w:color w:val="FF0000"/>
        </w:rPr>
        <w:t>)</w:t>
      </w:r>
      <w:r w:rsidR="00642A51" w:rsidRPr="00D57A3A">
        <w:rPr>
          <w:color w:val="FF0000"/>
        </w:rPr>
        <w:t xml:space="preserve">.  </w:t>
      </w:r>
      <w:r w:rsidR="000872EE" w:rsidRPr="00D57A3A">
        <w:rPr>
          <w:color w:val="FF0000"/>
        </w:rPr>
        <w:t xml:space="preserve">These certification </w:t>
      </w:r>
      <w:r w:rsidR="008B435F" w:rsidRPr="00D57A3A">
        <w:rPr>
          <w:color w:val="FF0000"/>
        </w:rPr>
        <w:t xml:space="preserve">and disclosure </w:t>
      </w:r>
      <w:r w:rsidR="000872EE" w:rsidRPr="00D57A3A">
        <w:rPr>
          <w:color w:val="FF0000"/>
        </w:rPr>
        <w:t xml:space="preserve">requirements </w:t>
      </w:r>
      <w:r w:rsidR="00D14057">
        <w:rPr>
          <w:i/>
          <w:iCs/>
          <w:color w:val="FF0000"/>
        </w:rPr>
        <w:t>extend</w:t>
      </w:r>
      <w:r w:rsidR="000872EE" w:rsidRPr="00D57A3A">
        <w:rPr>
          <w:color w:val="FF0000"/>
        </w:rPr>
        <w:t xml:space="preserve"> to </w:t>
      </w:r>
      <w:r w:rsidR="008B435F" w:rsidRPr="00D57A3A">
        <w:rPr>
          <w:color w:val="FF0000"/>
        </w:rPr>
        <w:t xml:space="preserve">any contractor or subcontractor </w:t>
      </w:r>
      <w:r w:rsidR="006060DF" w:rsidRPr="00D57A3A">
        <w:rPr>
          <w:color w:val="FF0000"/>
        </w:rPr>
        <w:t>that receives</w:t>
      </w:r>
      <w:r w:rsidR="008B435F" w:rsidRPr="00D57A3A">
        <w:rPr>
          <w:color w:val="FF0000"/>
        </w:rPr>
        <w:t xml:space="preserve"> federal grant funds where the cost of a contract or subcontract exceeds $100,000.  </w:t>
      </w:r>
      <w:r w:rsidR="008B435F" w:rsidRPr="00D57A3A">
        <w:rPr>
          <w:i/>
          <w:iCs/>
          <w:color w:val="FF0000"/>
        </w:rPr>
        <w:t>See</w:t>
      </w:r>
      <w:r w:rsidR="008B435F" w:rsidRPr="00D57A3A">
        <w:rPr>
          <w:color w:val="FF0000"/>
        </w:rPr>
        <w:t xml:space="preserve"> 31 C.F.R. § 21.110(d)(2).</w:t>
      </w:r>
      <w:r w:rsidR="00F52732" w:rsidRPr="00D57A3A">
        <w:rPr>
          <w:color w:val="FF0000"/>
        </w:rPr>
        <w:t xml:space="preserve">  Recipient</w:t>
      </w:r>
      <w:r w:rsidR="00642864" w:rsidRPr="00D57A3A">
        <w:rPr>
          <w:color w:val="FF0000"/>
        </w:rPr>
        <w:t xml:space="preserve">s and subrecipients (and the contractors and subcontractors of each) </w:t>
      </w:r>
      <w:r w:rsidR="00F52732" w:rsidRPr="00D57A3A">
        <w:rPr>
          <w:color w:val="FF0000"/>
        </w:rPr>
        <w:t>of monies from Fiscal Recovery Funds must obtain a certification from the Tier immediately below</w:t>
      </w:r>
      <w:r w:rsidR="00642864" w:rsidRPr="00D57A3A">
        <w:rPr>
          <w:color w:val="FF0000"/>
        </w:rPr>
        <w:t xml:space="preserve"> it</w:t>
      </w:r>
      <w:r w:rsidR="00F52732" w:rsidRPr="00D57A3A">
        <w:rPr>
          <w:color w:val="FF0000"/>
        </w:rPr>
        <w:t xml:space="preserve"> </w:t>
      </w:r>
      <w:r w:rsidR="00A21B88" w:rsidRPr="00D57A3A">
        <w:rPr>
          <w:color w:val="FF0000"/>
        </w:rPr>
        <w:t xml:space="preserve">where the cost of </w:t>
      </w:r>
      <w:r w:rsidR="00642864" w:rsidRPr="00D57A3A">
        <w:rPr>
          <w:color w:val="FF0000"/>
        </w:rPr>
        <w:t xml:space="preserve">such </w:t>
      </w:r>
      <w:r w:rsidR="00A21B88" w:rsidRPr="00D57A3A">
        <w:rPr>
          <w:color w:val="FF0000"/>
        </w:rPr>
        <w:t>a contract or subcontract exceeds $100,000</w:t>
      </w:r>
      <w:r w:rsidR="00642864" w:rsidRPr="00D57A3A">
        <w:rPr>
          <w:color w:val="FF0000"/>
        </w:rPr>
        <w:t xml:space="preserve">.  </w:t>
      </w:r>
      <w:r w:rsidR="00CA60D8" w:rsidRPr="00D57A3A">
        <w:rPr>
          <w:color w:val="FF0000"/>
        </w:rPr>
        <w:t>A</w:t>
      </w:r>
      <w:r w:rsidR="00A21B88" w:rsidRPr="00D57A3A">
        <w:rPr>
          <w:color w:val="FF0000"/>
        </w:rPr>
        <w:t xml:space="preserve"> recipient, contractor, </w:t>
      </w:r>
      <w:r w:rsidR="00CA60D8" w:rsidRPr="00D57A3A">
        <w:rPr>
          <w:color w:val="FF0000"/>
        </w:rPr>
        <w:t>or</w:t>
      </w:r>
      <w:r w:rsidR="00A21B88" w:rsidRPr="00D57A3A">
        <w:rPr>
          <w:color w:val="FF0000"/>
        </w:rPr>
        <w:t xml:space="preserve"> subcontractor receiving a certification </w:t>
      </w:r>
      <w:r w:rsidR="00CA60D8" w:rsidRPr="00D57A3A">
        <w:rPr>
          <w:color w:val="FF0000"/>
        </w:rPr>
        <w:t>need not</w:t>
      </w:r>
      <w:r w:rsidR="00A21B88" w:rsidRPr="00D57A3A">
        <w:rPr>
          <w:color w:val="FF0000"/>
        </w:rPr>
        <w:t xml:space="preserve"> forward </w:t>
      </w:r>
      <w:r w:rsidR="00CA60D8" w:rsidRPr="00D57A3A">
        <w:rPr>
          <w:color w:val="FF0000"/>
        </w:rPr>
        <w:t>a certification</w:t>
      </w:r>
      <w:r w:rsidR="00A21B88" w:rsidRPr="00D57A3A">
        <w:rPr>
          <w:color w:val="FF0000"/>
        </w:rPr>
        <w:t xml:space="preserve"> to a higher </w:t>
      </w:r>
      <w:r w:rsidR="00CA60D8" w:rsidRPr="00D57A3A">
        <w:rPr>
          <w:color w:val="FF0000"/>
        </w:rPr>
        <w:t>Tier</w:t>
      </w:r>
      <w:r w:rsidR="00D672F3" w:rsidRPr="00D57A3A">
        <w:rPr>
          <w:color w:val="FF0000"/>
        </w:rPr>
        <w:t>—but each must forward any disclosure forms (on Standard Form</w:t>
      </w:r>
      <w:r w:rsidR="00CA60D8" w:rsidRPr="00D57A3A">
        <w:rPr>
          <w:color w:val="FF0000"/>
        </w:rPr>
        <w:t>-</w:t>
      </w:r>
      <w:r w:rsidR="00D672F3" w:rsidRPr="00D57A3A">
        <w:rPr>
          <w:color w:val="FF0000"/>
        </w:rPr>
        <w:t xml:space="preserve">LLL) to the Tier </w:t>
      </w:r>
      <w:r w:rsidR="00CA60D8" w:rsidRPr="00D57A3A">
        <w:rPr>
          <w:color w:val="FF0000"/>
        </w:rPr>
        <w:t xml:space="preserve">immediately </w:t>
      </w:r>
      <w:r w:rsidR="00D672F3" w:rsidRPr="00D57A3A">
        <w:rPr>
          <w:color w:val="FF0000"/>
        </w:rPr>
        <w:t>above</w:t>
      </w:r>
      <w:r w:rsidR="00A21B88" w:rsidRPr="00D57A3A">
        <w:rPr>
          <w:color w:val="FF0000"/>
        </w:rPr>
        <w:t>.</w:t>
      </w:r>
      <w:r w:rsidR="00D672F3" w:rsidRPr="00D57A3A">
        <w:rPr>
          <w:color w:val="FF0000"/>
        </w:rPr>
        <w:t xml:space="preserve">  </w:t>
      </w:r>
      <w:r w:rsidR="00D672F3" w:rsidRPr="00D57A3A">
        <w:rPr>
          <w:i/>
          <w:iCs/>
          <w:color w:val="FF0000"/>
        </w:rPr>
        <w:t>See</w:t>
      </w:r>
      <w:r w:rsidR="00D672F3" w:rsidRPr="00D57A3A">
        <w:rPr>
          <w:color w:val="FF0000"/>
        </w:rPr>
        <w:t xml:space="preserve"> 31 C.F.R. § 21.110(e).</w:t>
      </w:r>
    </w:p>
  </w:footnote>
  <w:footnote w:id="37">
    <w:p w14:paraId="7F317027" w14:textId="3E446350" w:rsidR="00D222DA" w:rsidRPr="00D57A3A" w:rsidRDefault="00D222DA"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VIII</w:t>
      </w:r>
      <w:r w:rsidRPr="00D57A3A">
        <w:rPr>
          <w:color w:val="FF0000"/>
        </w:rPr>
        <w:t xml:space="preserve"> satisfies the requirements of Appendix II, § (J) and 2 C.F.R. § 200.323.</w:t>
      </w:r>
      <w:r w:rsidR="001274D2" w:rsidRPr="00D57A3A">
        <w:rPr>
          <w:color w:val="FF0000"/>
        </w:rPr>
        <w:t xml:space="preserve">  </w:t>
      </w:r>
      <w:r w:rsidR="00011B43" w:rsidRPr="00D57A3A">
        <w:rPr>
          <w:color w:val="FF0000"/>
        </w:rPr>
        <w:t xml:space="preserve"> </w:t>
      </w:r>
    </w:p>
  </w:footnote>
  <w:footnote w:id="38">
    <w:p w14:paraId="3286B858" w14:textId="659D9E6B" w:rsidR="00C9585A" w:rsidRPr="00D57A3A" w:rsidRDefault="00FD1345"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IX</w:t>
      </w:r>
      <w:r w:rsidRPr="00D57A3A">
        <w:rPr>
          <w:color w:val="FF0000"/>
        </w:rPr>
        <w:t xml:space="preserve"> satisfies the requirements of Appendix II, § (</w:t>
      </w:r>
      <w:r w:rsidR="00926F32" w:rsidRPr="00D57A3A">
        <w:rPr>
          <w:color w:val="FF0000"/>
        </w:rPr>
        <w:t>K) and 2 C.F.R. § 200.216.  On August 13, 2020, the Office of Management and Budget</w:t>
      </w:r>
      <w:r w:rsidR="00383431">
        <w:rPr>
          <w:color w:val="FF0000"/>
        </w:rPr>
        <w:t xml:space="preserve"> (“OMB”)</w:t>
      </w:r>
      <w:r w:rsidR="00926F32" w:rsidRPr="00D57A3A">
        <w:rPr>
          <w:color w:val="FF0000"/>
        </w:rPr>
        <w:t xml:space="preserve"> published revisions to the Uniform Guidance that</w:t>
      </w:r>
      <w:r w:rsidR="00EF62C4" w:rsidRPr="00D57A3A">
        <w:rPr>
          <w:color w:val="FF0000"/>
        </w:rPr>
        <w:t xml:space="preserve">, among other things, </w:t>
      </w:r>
      <w:r w:rsidR="00B929F5" w:rsidRPr="00D57A3A">
        <w:rPr>
          <w:color w:val="FF0000"/>
        </w:rPr>
        <w:t xml:space="preserve">prohibit </w:t>
      </w:r>
      <w:r w:rsidR="00AE37FA" w:rsidRPr="00D57A3A">
        <w:rPr>
          <w:color w:val="FF0000"/>
        </w:rPr>
        <w:t xml:space="preserve">recipients </w:t>
      </w:r>
      <w:r w:rsidR="00FC148E" w:rsidRPr="00D57A3A">
        <w:rPr>
          <w:color w:val="FF0000"/>
        </w:rPr>
        <w:t xml:space="preserve">and subrecipients </w:t>
      </w:r>
      <w:r w:rsidR="00AE37FA" w:rsidRPr="00D57A3A">
        <w:rPr>
          <w:color w:val="FF0000"/>
        </w:rPr>
        <w:t>of federal grant funds from obliga</w:t>
      </w:r>
      <w:r w:rsidR="00CA17A1" w:rsidRPr="00D57A3A">
        <w:rPr>
          <w:color w:val="FF0000"/>
        </w:rPr>
        <w:t>ting</w:t>
      </w:r>
      <w:r w:rsidR="00AE37FA" w:rsidRPr="00D57A3A">
        <w:rPr>
          <w:color w:val="FF0000"/>
        </w:rPr>
        <w:t xml:space="preserve"> or expend</w:t>
      </w:r>
      <w:r w:rsidR="00CA17A1" w:rsidRPr="00D57A3A">
        <w:rPr>
          <w:color w:val="FF0000"/>
        </w:rPr>
        <w:t>ing</w:t>
      </w:r>
      <w:r w:rsidR="00AE37FA" w:rsidRPr="00D57A3A">
        <w:rPr>
          <w:color w:val="FF0000"/>
        </w:rPr>
        <w:t xml:space="preserve"> such funds to procure equipment or systems </w:t>
      </w:r>
      <w:r w:rsidR="000A46F6" w:rsidRPr="00D57A3A">
        <w:rPr>
          <w:color w:val="FF0000"/>
        </w:rPr>
        <w:t>using</w:t>
      </w:r>
      <w:r w:rsidR="00AE37FA" w:rsidRPr="00D57A3A">
        <w:rPr>
          <w:color w:val="FF0000"/>
        </w:rPr>
        <w:t xml:space="preserve"> equipment made by certain Chinese manufacturers</w:t>
      </w:r>
      <w:r w:rsidR="00FC148E" w:rsidRPr="00D57A3A">
        <w:rPr>
          <w:color w:val="FF0000"/>
        </w:rPr>
        <w:t xml:space="preserve">.  </w:t>
      </w:r>
      <w:r w:rsidR="002766B0" w:rsidRPr="00D57A3A">
        <w:rPr>
          <w:i/>
          <w:iCs/>
          <w:color w:val="FF0000"/>
        </w:rPr>
        <w:t xml:space="preserve">See </w:t>
      </w:r>
      <w:hyperlink r:id="rId73" w:history="1">
        <w:r w:rsidR="002F5742" w:rsidRPr="003E479D">
          <w:rPr>
            <w:rStyle w:val="Hyperlink"/>
          </w:rPr>
          <w:t xml:space="preserve">Guidance for Grants and Agreements, </w:t>
        </w:r>
        <w:r w:rsidR="002766B0" w:rsidRPr="003E479D">
          <w:rPr>
            <w:rStyle w:val="Hyperlink"/>
          </w:rPr>
          <w:t>85 Fed. Reg. 49,506, 49,5</w:t>
        </w:r>
        <w:r w:rsidR="00181BE6" w:rsidRPr="003E479D">
          <w:rPr>
            <w:rStyle w:val="Hyperlink"/>
          </w:rPr>
          <w:t>43</w:t>
        </w:r>
        <w:r w:rsidR="002766B0" w:rsidRPr="003E479D">
          <w:rPr>
            <w:rStyle w:val="Hyperlink"/>
          </w:rPr>
          <w:t xml:space="preserve"> (Aug. 13, 2020)</w:t>
        </w:r>
        <w:r w:rsidR="000A46F6" w:rsidRPr="003E479D">
          <w:rPr>
            <w:rStyle w:val="Hyperlink"/>
          </w:rPr>
          <w:t xml:space="preserve"> (</w:t>
        </w:r>
        <w:r w:rsidR="00181BE6" w:rsidRPr="003E479D">
          <w:rPr>
            <w:rStyle w:val="Hyperlink"/>
          </w:rPr>
          <w:t>promulgating</w:t>
        </w:r>
        <w:r w:rsidR="000A46F6" w:rsidRPr="003E479D">
          <w:rPr>
            <w:rStyle w:val="Hyperlink"/>
          </w:rPr>
          <w:t xml:space="preserve"> 2 C.F.R. § 200.216)</w:t>
        </w:r>
      </w:hyperlink>
      <w:r w:rsidR="00D9382D" w:rsidRPr="00D57A3A">
        <w:rPr>
          <w:color w:val="FF0000"/>
        </w:rPr>
        <w:t xml:space="preserve">.  These revisions implement </w:t>
      </w:r>
      <w:hyperlink r:id="rId74" w:history="1">
        <w:r w:rsidR="00B87579" w:rsidRPr="00DC32CE">
          <w:rPr>
            <w:rStyle w:val="Hyperlink"/>
          </w:rPr>
          <w:t xml:space="preserve">Section 889 of the </w:t>
        </w:r>
        <w:r w:rsidR="00511CC9" w:rsidRPr="00DC32CE">
          <w:rPr>
            <w:rStyle w:val="Hyperlink"/>
          </w:rPr>
          <w:t xml:space="preserve">John S. McCain </w:t>
        </w:r>
        <w:r w:rsidR="00B87579" w:rsidRPr="00DC32CE">
          <w:rPr>
            <w:rStyle w:val="Hyperlink"/>
          </w:rPr>
          <w:t xml:space="preserve">National Defense Authorization Act </w:t>
        </w:r>
        <w:r w:rsidR="007710A2" w:rsidRPr="00DC32CE">
          <w:rPr>
            <w:rStyle w:val="Hyperlink"/>
          </w:rPr>
          <w:t>for Fiscal Year 2019</w:t>
        </w:r>
        <w:r w:rsidR="00511CC9" w:rsidRPr="00DC32CE">
          <w:rPr>
            <w:rStyle w:val="Hyperlink"/>
          </w:rPr>
          <w:t>, Pub. L. No. 115-232</w:t>
        </w:r>
      </w:hyperlink>
      <w:r w:rsidR="00383431">
        <w:rPr>
          <w:color w:val="FF0000"/>
        </w:rPr>
        <w:t xml:space="preserve"> (hereinafter NDAA for FY2019)</w:t>
      </w:r>
      <w:r w:rsidR="007710A2" w:rsidRPr="00D57A3A">
        <w:rPr>
          <w:color w:val="FF0000"/>
        </w:rPr>
        <w:t>.  A</w:t>
      </w:r>
      <w:r w:rsidR="00FC148E" w:rsidRPr="00D57A3A">
        <w:rPr>
          <w:color w:val="FF0000"/>
        </w:rPr>
        <w:t>ppendix II, § (K)</w:t>
      </w:r>
      <w:r w:rsidR="00D9382D" w:rsidRPr="00D57A3A">
        <w:rPr>
          <w:color w:val="FF0000"/>
        </w:rPr>
        <w:t xml:space="preserve"> </w:t>
      </w:r>
      <w:r w:rsidR="008F1349" w:rsidRPr="00D57A3A">
        <w:rPr>
          <w:color w:val="FF0000"/>
        </w:rPr>
        <w:t>states simply “</w:t>
      </w:r>
      <w:r w:rsidR="00B66C8F" w:rsidRPr="00D57A3A">
        <w:rPr>
          <w:color w:val="FF0000"/>
        </w:rPr>
        <w:t>see</w:t>
      </w:r>
      <w:r w:rsidR="002766B0" w:rsidRPr="00D57A3A">
        <w:rPr>
          <w:i/>
          <w:iCs/>
          <w:color w:val="FF0000"/>
        </w:rPr>
        <w:t xml:space="preserve"> </w:t>
      </w:r>
      <w:hyperlink r:id="rId75" w:history="1">
        <w:r w:rsidR="002766B0" w:rsidRPr="00D57A3A">
          <w:rPr>
            <w:rStyle w:val="Hyperlink"/>
            <w:color w:val="FF0000"/>
          </w:rPr>
          <w:t>2 C.F.R. § 200.216</w:t>
        </w:r>
      </w:hyperlink>
      <w:r w:rsidR="006C4536" w:rsidRPr="00D57A3A">
        <w:rPr>
          <w:color w:val="FF0000"/>
        </w:rPr>
        <w:t>”</w:t>
      </w:r>
      <w:r w:rsidR="005F172E" w:rsidRPr="00D57A3A">
        <w:rPr>
          <w:color w:val="FF0000"/>
        </w:rPr>
        <w:t xml:space="preserve">—and </w:t>
      </w:r>
      <w:r w:rsidR="006C4536" w:rsidRPr="00D57A3A">
        <w:rPr>
          <w:color w:val="FF0000"/>
        </w:rPr>
        <w:t>2 C.F.R. § 200.216 does not expressly requir</w:t>
      </w:r>
      <w:r w:rsidR="005F172E" w:rsidRPr="00D57A3A">
        <w:rPr>
          <w:color w:val="FF0000"/>
        </w:rPr>
        <w:t>e federal grant recipients or subrecipients to include</w:t>
      </w:r>
      <w:r w:rsidR="00EE4BBE" w:rsidRPr="00D57A3A">
        <w:rPr>
          <w:color w:val="FF0000"/>
        </w:rPr>
        <w:t xml:space="preserve"> a clause in procurement contracts</w:t>
      </w:r>
      <w:r w:rsidR="005F172E" w:rsidRPr="00D57A3A">
        <w:rPr>
          <w:color w:val="FF0000"/>
        </w:rPr>
        <w:t>.  Nonetheless, some</w:t>
      </w:r>
      <w:r w:rsidR="00844F7E" w:rsidRPr="00D57A3A">
        <w:rPr>
          <w:color w:val="FF0000"/>
        </w:rPr>
        <w:t xml:space="preserve"> federal agencies (including FEMA) have interpreted § (K) to</w:t>
      </w:r>
      <w:r w:rsidR="00BF03B5" w:rsidRPr="00D57A3A">
        <w:rPr>
          <w:color w:val="FF0000"/>
        </w:rPr>
        <w:t xml:space="preserve"> require the inclusion of a contract clause in grant-supported contracts.</w:t>
      </w:r>
      <w:r w:rsidR="00844F7E" w:rsidRPr="00D57A3A">
        <w:rPr>
          <w:color w:val="FF0000"/>
        </w:rPr>
        <w:t xml:space="preserve"> </w:t>
      </w:r>
      <w:r w:rsidR="00844F7E" w:rsidRPr="00D57A3A">
        <w:rPr>
          <w:i/>
          <w:iCs/>
          <w:color w:val="FF0000"/>
        </w:rPr>
        <w:t>See, e.g.</w:t>
      </w:r>
      <w:r w:rsidR="00844F7E" w:rsidRPr="00D57A3A">
        <w:rPr>
          <w:color w:val="FF0000"/>
        </w:rPr>
        <w:t xml:space="preserve">, </w:t>
      </w:r>
      <w:r w:rsidR="00E82B7A">
        <w:rPr>
          <w:color w:val="FF0000"/>
        </w:rPr>
        <w:t xml:space="preserve">Federal Emergency Management Agency, </w:t>
      </w:r>
      <w:hyperlink r:id="rId76" w:history="1">
        <w:r w:rsidR="00844F7E" w:rsidRPr="00D57A3A">
          <w:rPr>
            <w:rStyle w:val="Hyperlink"/>
            <w:color w:val="FF0000"/>
          </w:rPr>
          <w:t xml:space="preserve">FEMA Policy </w:t>
        </w:r>
        <w:r w:rsidR="0098155A" w:rsidRPr="00D57A3A">
          <w:rPr>
            <w:rStyle w:val="Hyperlink"/>
            <w:color w:val="FF0000"/>
          </w:rPr>
          <w:t>#405-143-1</w:t>
        </w:r>
      </w:hyperlink>
      <w:r w:rsidR="0098155A" w:rsidRPr="00D57A3A">
        <w:rPr>
          <w:color w:val="FF0000"/>
        </w:rPr>
        <w:t xml:space="preserve">, </w:t>
      </w:r>
      <w:r w:rsidR="0098155A" w:rsidRPr="00D57A3A">
        <w:rPr>
          <w:i/>
          <w:iCs/>
          <w:color w:val="FF0000"/>
        </w:rPr>
        <w:t>Prohibitions on Expending FEMA Award Funds for Covered Telecommunications Equipment or Services (Interim)</w:t>
      </w:r>
      <w:r w:rsidR="00993825">
        <w:rPr>
          <w:i/>
          <w:iCs/>
          <w:color w:val="FF0000"/>
        </w:rPr>
        <w:t xml:space="preserve"> </w:t>
      </w:r>
      <w:r w:rsidR="00993825">
        <w:rPr>
          <w:color w:val="FF0000"/>
        </w:rPr>
        <w:t>(Nov. 24, 2020)</w:t>
      </w:r>
      <w:r w:rsidR="0026622E">
        <w:rPr>
          <w:color w:val="FF0000"/>
        </w:rPr>
        <w:t xml:space="preserve"> (hereinafter FEMA Covered Telecom Policy)</w:t>
      </w:r>
      <w:r w:rsidR="0098155A" w:rsidRPr="00D57A3A">
        <w:rPr>
          <w:color w:val="FF0000"/>
        </w:rPr>
        <w:t>.</w:t>
      </w:r>
      <w:r w:rsidR="00BF03B5" w:rsidRPr="00D57A3A">
        <w:rPr>
          <w:color w:val="FF0000"/>
        </w:rPr>
        <w:t xml:space="preserve">  FEMA has released a sample clause, which mirrors the clause contained in the Federal Acquisition Regulation</w:t>
      </w:r>
      <w:r w:rsidR="00787C4A" w:rsidRPr="00D57A3A">
        <w:rPr>
          <w:color w:val="FF0000"/>
        </w:rPr>
        <w:t xml:space="preserve"> (“FAR”).  </w:t>
      </w:r>
      <w:r w:rsidR="00787C4A" w:rsidRPr="00D57A3A">
        <w:rPr>
          <w:i/>
          <w:iCs/>
          <w:color w:val="FF0000"/>
        </w:rPr>
        <w:t xml:space="preserve">See </w:t>
      </w:r>
      <w:hyperlink r:id="rId77" w:history="1">
        <w:r w:rsidR="002C025B" w:rsidRPr="0026622E">
          <w:rPr>
            <w:rStyle w:val="Hyperlink"/>
          </w:rPr>
          <w:t>48 C.F.R. 52.204-25</w:t>
        </w:r>
      </w:hyperlink>
      <w:r w:rsidR="00787C4A" w:rsidRPr="00D57A3A">
        <w:rPr>
          <w:color w:val="FF0000"/>
        </w:rPr>
        <w:t xml:space="preserve">.  </w:t>
      </w:r>
      <w:r w:rsidR="00EE4BBE" w:rsidRPr="00D57A3A">
        <w:rPr>
          <w:color w:val="FF0000"/>
        </w:rPr>
        <w:t xml:space="preserve">While the FAR is not applicable to procurement by non-Federal entities using federal grant funds, </w:t>
      </w:r>
      <w:r w:rsidR="00E40DD7">
        <w:rPr>
          <w:color w:val="FF0000"/>
        </w:rPr>
        <w:t>it</w:t>
      </w:r>
      <w:r w:rsidR="00EE4BBE" w:rsidRPr="00D57A3A">
        <w:rPr>
          <w:color w:val="FF0000"/>
        </w:rPr>
        <w:t xml:space="preserve"> can provide helpful drafting guidance for some </w:t>
      </w:r>
      <w:r w:rsidR="00E40DD7">
        <w:rPr>
          <w:color w:val="FF0000"/>
        </w:rPr>
        <w:t xml:space="preserve">grantee </w:t>
      </w:r>
      <w:r w:rsidR="00EE4BBE" w:rsidRPr="00D57A3A">
        <w:rPr>
          <w:color w:val="FF0000"/>
        </w:rPr>
        <w:t xml:space="preserve">contract clauses.  Units receiving </w:t>
      </w:r>
      <w:r w:rsidR="0065150C" w:rsidRPr="00D57A3A">
        <w:rPr>
          <w:color w:val="FF0000"/>
        </w:rPr>
        <w:t xml:space="preserve">distributions of </w:t>
      </w:r>
      <w:r w:rsidR="00EE4BBE" w:rsidRPr="00D57A3A">
        <w:rPr>
          <w:color w:val="FF0000"/>
        </w:rPr>
        <w:t>Fiscal Recovery Fund</w:t>
      </w:r>
      <w:r w:rsidR="005C2FCA" w:rsidRPr="00D57A3A">
        <w:rPr>
          <w:color w:val="FF0000"/>
        </w:rPr>
        <w:t xml:space="preserve">s, as recipients or subrecipients, should include this clause in all </w:t>
      </w:r>
      <w:r w:rsidR="00E40DD7">
        <w:rPr>
          <w:color w:val="FF0000"/>
        </w:rPr>
        <w:t>supported contracts</w:t>
      </w:r>
      <w:r w:rsidR="0065150C" w:rsidRPr="00D57A3A">
        <w:rPr>
          <w:color w:val="FF0000"/>
        </w:rPr>
        <w:t>.</w:t>
      </w:r>
    </w:p>
  </w:footnote>
  <w:footnote w:id="39">
    <w:p w14:paraId="40033618" w14:textId="28B3CDB1" w:rsidR="009E186F" w:rsidRPr="00D57A3A" w:rsidRDefault="009E186F"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0026622E">
        <w:rPr>
          <w:color w:val="FF0000"/>
        </w:rPr>
        <w:t>The FEMA Covered Telecom Policy</w:t>
      </w:r>
      <w:r w:rsidR="00C12FA1" w:rsidRPr="00D57A3A">
        <w:rPr>
          <w:color w:val="FF0000"/>
        </w:rPr>
        <w:t xml:space="preserve"> drew </w:t>
      </w:r>
      <w:r w:rsidR="00162B7F" w:rsidRPr="00D57A3A">
        <w:rPr>
          <w:color w:val="FF0000"/>
        </w:rPr>
        <w:t xml:space="preserve">relevant definitions from the </w:t>
      </w:r>
      <w:proofErr w:type="gramStart"/>
      <w:r w:rsidR="0026622E">
        <w:rPr>
          <w:color w:val="FF0000"/>
        </w:rPr>
        <w:t>FAR</w:t>
      </w:r>
      <w:r w:rsidR="006B7068" w:rsidRPr="00D57A3A">
        <w:rPr>
          <w:color w:val="FF0000"/>
        </w:rPr>
        <w:t>, but</w:t>
      </w:r>
      <w:proofErr w:type="gramEnd"/>
      <w:r w:rsidR="006B7068" w:rsidRPr="00D57A3A">
        <w:rPr>
          <w:color w:val="FF0000"/>
        </w:rPr>
        <w:t xml:space="preserve"> did not e</w:t>
      </w:r>
      <w:r w:rsidR="00C12FA1" w:rsidRPr="00D57A3A">
        <w:rPr>
          <w:color w:val="FF0000"/>
        </w:rPr>
        <w:t xml:space="preserve">xpressly incorporate </w:t>
      </w:r>
      <w:r w:rsidR="006B7068" w:rsidRPr="00D57A3A">
        <w:rPr>
          <w:color w:val="FF0000"/>
        </w:rPr>
        <w:t>the</w:t>
      </w:r>
      <w:r w:rsidR="00C12FA1" w:rsidRPr="00D57A3A">
        <w:rPr>
          <w:color w:val="FF0000"/>
        </w:rPr>
        <w:t xml:space="preserve"> definition of “critical technology”</w:t>
      </w:r>
      <w:r w:rsidR="00C44E38" w:rsidRPr="00D57A3A">
        <w:rPr>
          <w:color w:val="FF0000"/>
        </w:rPr>
        <w:t xml:space="preserve"> in</w:t>
      </w:r>
      <w:r w:rsidR="00A101A7" w:rsidRPr="00D57A3A">
        <w:rPr>
          <w:color w:val="FF0000"/>
        </w:rPr>
        <w:t xml:space="preserve"> </w:t>
      </w:r>
      <w:r w:rsidR="006B7068" w:rsidRPr="00D57A3A">
        <w:rPr>
          <w:color w:val="FF0000"/>
        </w:rPr>
        <w:t>48 C.F.R. § 52.204-25(a)</w:t>
      </w:r>
      <w:r w:rsidR="00C44E38" w:rsidRPr="00D57A3A">
        <w:rPr>
          <w:color w:val="FF0000"/>
        </w:rPr>
        <w:t>.  Th</w:t>
      </w:r>
      <w:r w:rsidR="004F7E87" w:rsidRPr="00D57A3A">
        <w:rPr>
          <w:color w:val="FF0000"/>
        </w:rPr>
        <w:t>e</w:t>
      </w:r>
      <w:r w:rsidR="00C44E38" w:rsidRPr="00D57A3A">
        <w:rPr>
          <w:color w:val="FF0000"/>
        </w:rPr>
        <w:t xml:space="preserve"> definition</w:t>
      </w:r>
      <w:r w:rsidR="004F7E87" w:rsidRPr="00D57A3A">
        <w:rPr>
          <w:color w:val="FF0000"/>
        </w:rPr>
        <w:t xml:space="preserve"> used in this Section</w:t>
      </w:r>
      <w:r w:rsidR="00C44E38" w:rsidRPr="00D57A3A">
        <w:rPr>
          <w:color w:val="FF0000"/>
        </w:rPr>
        <w:t xml:space="preserve"> is derived from the FAR, which </w:t>
      </w:r>
      <w:r w:rsidR="00431C52" w:rsidRPr="00D57A3A">
        <w:rPr>
          <w:color w:val="FF0000"/>
        </w:rPr>
        <w:t xml:space="preserve">mirrors the definitions contained in the NDAA for FY 2019.  </w:t>
      </w:r>
      <w:r w:rsidR="00383431">
        <w:rPr>
          <w:i/>
          <w:iCs/>
          <w:color w:val="FF0000"/>
        </w:rPr>
        <w:t>S</w:t>
      </w:r>
      <w:r w:rsidR="005C2FCA" w:rsidRPr="00D57A3A">
        <w:rPr>
          <w:i/>
          <w:iCs/>
          <w:color w:val="FF0000"/>
        </w:rPr>
        <w:t xml:space="preserve">ee also </w:t>
      </w:r>
      <w:r w:rsidR="00431C52" w:rsidRPr="00D57A3A">
        <w:rPr>
          <w:color w:val="FF0000"/>
        </w:rPr>
        <w:t>Section 1703 of Title XVII, Pub. L. No. 115-232; 50 U.S.C. § 4565(a)(6)(A).</w:t>
      </w:r>
    </w:p>
  </w:footnote>
  <w:footnote w:id="40">
    <w:p w14:paraId="7E34DC10" w14:textId="287A076B" w:rsidR="00686272" w:rsidRPr="00D57A3A" w:rsidRDefault="00686272"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A322D2">
        <w:rPr>
          <w:color w:val="FF0000"/>
          <w:u w:val="single"/>
        </w:rPr>
        <w:t>Section X</w:t>
      </w:r>
      <w:r w:rsidRPr="00D57A3A">
        <w:rPr>
          <w:color w:val="FF0000"/>
        </w:rPr>
        <w:t xml:space="preserve"> satisfies the requirements of Appendix II, § (L) and 2 C.F.R. § 200.322.  </w:t>
      </w:r>
      <w:r w:rsidR="00383431">
        <w:rPr>
          <w:color w:val="FF0000"/>
        </w:rPr>
        <w:t>A</w:t>
      </w:r>
      <w:r w:rsidRPr="00D57A3A">
        <w:rPr>
          <w:color w:val="FF0000"/>
        </w:rPr>
        <w:t>mong other things</w:t>
      </w:r>
      <w:r w:rsidR="00215C2B" w:rsidRPr="00D57A3A">
        <w:rPr>
          <w:color w:val="FF0000"/>
        </w:rPr>
        <w:t>,</w:t>
      </w:r>
      <w:r w:rsidR="00383431">
        <w:rPr>
          <w:color w:val="FF0000"/>
        </w:rPr>
        <w:t xml:space="preserve"> OMB’s 2020 revisions to the Uniform Guidance </w:t>
      </w:r>
      <w:r w:rsidR="00215C2B" w:rsidRPr="00D57A3A">
        <w:rPr>
          <w:color w:val="FF0000"/>
        </w:rPr>
        <w:t xml:space="preserve">encourage recipients and subrecipients of federal grant funds to provide a </w:t>
      </w:r>
      <w:r w:rsidR="00CA276D" w:rsidRPr="00D57A3A">
        <w:rPr>
          <w:color w:val="FF0000"/>
        </w:rPr>
        <w:t xml:space="preserve">purchasing </w:t>
      </w:r>
      <w:r w:rsidR="00215C2B" w:rsidRPr="00D57A3A">
        <w:rPr>
          <w:color w:val="FF0000"/>
        </w:rPr>
        <w:t xml:space="preserve">preference for </w:t>
      </w:r>
      <w:r w:rsidR="00341B7F" w:rsidRPr="00D57A3A">
        <w:rPr>
          <w:color w:val="FF0000"/>
        </w:rPr>
        <w:t>the goods, products, or materials produced in the United States</w:t>
      </w:r>
      <w:r w:rsidR="00215C2B" w:rsidRPr="00D57A3A">
        <w:rPr>
          <w:color w:val="FF0000"/>
        </w:rPr>
        <w:t xml:space="preserve">.  </w:t>
      </w:r>
      <w:r w:rsidR="00215C2B" w:rsidRPr="00D57A3A">
        <w:rPr>
          <w:i/>
          <w:iCs/>
          <w:color w:val="FF0000"/>
        </w:rPr>
        <w:t>See</w:t>
      </w:r>
      <w:r w:rsidR="00215C2B" w:rsidRPr="00D57A3A">
        <w:rPr>
          <w:color w:val="FF0000"/>
        </w:rPr>
        <w:t xml:space="preserve"> </w:t>
      </w:r>
      <w:hyperlink r:id="rId78" w:history="1">
        <w:r w:rsidR="00215C2B" w:rsidRPr="00104CA0">
          <w:rPr>
            <w:rStyle w:val="Hyperlink"/>
          </w:rPr>
          <w:t>2 C.F.R. § 200.322</w:t>
        </w:r>
      </w:hyperlink>
      <w:r w:rsidR="00215C2B" w:rsidRPr="00D57A3A">
        <w:rPr>
          <w:color w:val="FF0000"/>
        </w:rPr>
        <w:t>.</w:t>
      </w:r>
      <w:r w:rsidR="000B5A3D" w:rsidRPr="00D57A3A">
        <w:rPr>
          <w:color w:val="FF0000"/>
        </w:rPr>
        <w:t xml:space="preserve">  </w:t>
      </w:r>
      <w:r w:rsidR="000E6761" w:rsidRPr="00D57A3A">
        <w:rPr>
          <w:color w:val="FF0000"/>
        </w:rPr>
        <w:t xml:space="preserve">The use of the term “should” rather than “must” in the new regulation indicates that </w:t>
      </w:r>
      <w:r w:rsidR="004C460C" w:rsidRPr="00D57A3A">
        <w:rPr>
          <w:color w:val="FF0000"/>
        </w:rPr>
        <w:t xml:space="preserve">imposition of a domestic preference is not </w:t>
      </w:r>
      <w:proofErr w:type="gramStart"/>
      <w:r w:rsidR="004C460C" w:rsidRPr="00D57A3A">
        <w:rPr>
          <w:color w:val="FF0000"/>
        </w:rPr>
        <w:t>required, but</w:t>
      </w:r>
      <w:proofErr w:type="gramEnd"/>
      <w:r w:rsidR="004C460C" w:rsidRPr="00D57A3A">
        <w:rPr>
          <w:color w:val="FF0000"/>
        </w:rPr>
        <w:t xml:space="preserve"> </w:t>
      </w:r>
      <w:r w:rsidR="00CA276D" w:rsidRPr="00D57A3A">
        <w:rPr>
          <w:color w:val="FF0000"/>
        </w:rPr>
        <w:t>suggested</w:t>
      </w:r>
      <w:r w:rsidR="004C460C" w:rsidRPr="00D57A3A">
        <w:rPr>
          <w:color w:val="FF0000"/>
        </w:rPr>
        <w:t xml:space="preserve">.  </w:t>
      </w:r>
      <w:r w:rsidR="007D4E65" w:rsidRPr="00D57A3A">
        <w:rPr>
          <w:i/>
          <w:iCs/>
          <w:color w:val="FF0000"/>
        </w:rPr>
        <w:t xml:space="preserve">See </w:t>
      </w:r>
      <w:hyperlink r:id="rId79" w:history="1">
        <w:r w:rsidR="007D4E65" w:rsidRPr="00104CA0">
          <w:rPr>
            <w:rStyle w:val="Hyperlink"/>
          </w:rPr>
          <w:t>2 C.F.R. § 200.101(b)(1)</w:t>
        </w:r>
      </w:hyperlink>
      <w:r w:rsidR="007D4E65" w:rsidRPr="00D57A3A">
        <w:rPr>
          <w:color w:val="FF0000"/>
        </w:rPr>
        <w:t xml:space="preserve"> (“Throughout this part when the word ‘must’ is used it indicates a requirement.  </w:t>
      </w:r>
      <w:proofErr w:type="gramStart"/>
      <w:r w:rsidR="007D4E65" w:rsidRPr="00D57A3A">
        <w:rPr>
          <w:color w:val="FF0000"/>
        </w:rPr>
        <w:t>Whereas,</w:t>
      </w:r>
      <w:proofErr w:type="gramEnd"/>
      <w:r w:rsidR="007D4E65" w:rsidRPr="00D57A3A">
        <w:rPr>
          <w:color w:val="FF0000"/>
        </w:rPr>
        <w:t xml:space="preserve"> use of the word “should” or “may” indicates a best practice or recommended approach rather than a requirement and permits discretion.”).</w:t>
      </w:r>
      <w:r w:rsidR="00D94D7F" w:rsidRPr="00D57A3A">
        <w:rPr>
          <w:color w:val="FF0000"/>
        </w:rPr>
        <w:t xml:space="preserve">  </w:t>
      </w:r>
      <w:hyperlink r:id="rId80" w:history="1">
        <w:r w:rsidR="00A25253" w:rsidRPr="00104CA0">
          <w:rPr>
            <w:rStyle w:val="Hyperlink"/>
          </w:rPr>
          <w:t>2 C.F.R. § 200.322</w:t>
        </w:r>
        <w:r w:rsidR="00222DE0" w:rsidRPr="00104CA0">
          <w:rPr>
            <w:rStyle w:val="Hyperlink"/>
          </w:rPr>
          <w:t>(a)</w:t>
        </w:r>
      </w:hyperlink>
      <w:r w:rsidR="00D94D7F" w:rsidRPr="00D57A3A">
        <w:rPr>
          <w:color w:val="FF0000"/>
        </w:rPr>
        <w:t xml:space="preserve"> </w:t>
      </w:r>
      <w:r w:rsidR="00222DE0" w:rsidRPr="00D57A3A">
        <w:rPr>
          <w:color w:val="FF0000"/>
        </w:rPr>
        <w:t>mandate</w:t>
      </w:r>
      <w:r w:rsidR="00104CA0">
        <w:rPr>
          <w:color w:val="FF0000"/>
        </w:rPr>
        <w:t>s</w:t>
      </w:r>
      <w:r w:rsidR="00222DE0" w:rsidRPr="00D57A3A">
        <w:rPr>
          <w:color w:val="FF0000"/>
        </w:rPr>
        <w:t xml:space="preserve"> the inclusion of </w:t>
      </w:r>
      <w:r w:rsidR="00CA276D" w:rsidRPr="00D57A3A">
        <w:rPr>
          <w:color w:val="FF0000"/>
        </w:rPr>
        <w:t xml:space="preserve">its requirements in </w:t>
      </w:r>
      <w:r w:rsidR="003674B8" w:rsidRPr="00D57A3A">
        <w:rPr>
          <w:color w:val="FF0000"/>
        </w:rPr>
        <w:t>“all contracts and purchase orders for work or for products under [an] award.”</w:t>
      </w:r>
      <w:r w:rsidR="00A91730" w:rsidRPr="00D57A3A">
        <w:rPr>
          <w:color w:val="FF0000"/>
        </w:rPr>
        <w:t xml:space="preserve">  The clause, as drafted </w:t>
      </w:r>
      <w:r w:rsidR="00A322D2">
        <w:rPr>
          <w:color w:val="FF0000"/>
        </w:rPr>
        <w:t xml:space="preserve">in this </w:t>
      </w:r>
      <w:r w:rsidR="00A322D2">
        <w:rPr>
          <w:color w:val="FF0000"/>
          <w:u w:val="single"/>
        </w:rPr>
        <w:t>Section XI</w:t>
      </w:r>
      <w:r w:rsidR="00A91730" w:rsidRPr="00D57A3A">
        <w:rPr>
          <w:color w:val="FF0000"/>
        </w:rPr>
        <w:t xml:space="preserve">, also requires </w:t>
      </w:r>
      <w:r w:rsidR="00C11742" w:rsidRPr="00D57A3A">
        <w:rPr>
          <w:color w:val="FF0000"/>
        </w:rPr>
        <w:t>the inclusion of these requirements in any subcontracts necessary to complete the Contract.</w:t>
      </w:r>
      <w:r w:rsidR="00FE2034" w:rsidRPr="00D57A3A">
        <w:rPr>
          <w:color w:val="FF0000"/>
        </w:rPr>
        <w:t xml:space="preserve">  </w:t>
      </w:r>
      <w:r w:rsidR="00C11742" w:rsidRPr="00D57A3A">
        <w:rPr>
          <w:color w:val="FF0000"/>
        </w:rPr>
        <w:t>The U.S. Department of the Treasury</w:t>
      </w:r>
      <w:r w:rsidR="005B4C6E" w:rsidRPr="00D57A3A">
        <w:rPr>
          <w:color w:val="FF0000"/>
        </w:rPr>
        <w:t xml:space="preserve"> has not released any guidance on the extent to which recipients or subrecipients of Fiscal Recovery Funds </w:t>
      </w:r>
      <w:r w:rsidR="00C11742" w:rsidRPr="00D57A3A">
        <w:rPr>
          <w:color w:val="FF0000"/>
        </w:rPr>
        <w:t>should</w:t>
      </w:r>
      <w:r w:rsidR="005B4C6E" w:rsidRPr="00D57A3A">
        <w:rPr>
          <w:color w:val="FF0000"/>
        </w:rPr>
        <w:t xml:space="preserve"> provide a preference for domestic</w:t>
      </w:r>
      <w:r w:rsidR="009D0361" w:rsidRPr="00D57A3A">
        <w:rPr>
          <w:color w:val="FF0000"/>
        </w:rPr>
        <w:t>ally made products</w:t>
      </w:r>
      <w:r w:rsidR="002B5ECD">
        <w:rPr>
          <w:color w:val="FF0000"/>
        </w:rPr>
        <w:t xml:space="preserve"> in contracts supported by Fiscal Recovery Funds</w:t>
      </w:r>
      <w:r w:rsidR="009D0361" w:rsidRPr="00D57A3A">
        <w:rPr>
          <w:color w:val="FF0000"/>
        </w:rPr>
        <w:t>.</w:t>
      </w:r>
      <w:r w:rsidR="00C11742" w:rsidRPr="00D57A3A">
        <w:rPr>
          <w:color w:val="FF0000"/>
        </w:rPr>
        <w:t xml:space="preserve">  </w:t>
      </w:r>
      <w:r w:rsidR="00FE2034" w:rsidRPr="00D57A3A">
        <w:rPr>
          <w:color w:val="FF0000"/>
        </w:rPr>
        <w:t>Recipients and subrecipients should be mindful that the u</w:t>
      </w:r>
      <w:r w:rsidR="00A5314D" w:rsidRPr="00D57A3A">
        <w:rPr>
          <w:color w:val="FF0000"/>
        </w:rPr>
        <w:t>se</w:t>
      </w:r>
      <w:r w:rsidR="007D4E65" w:rsidRPr="00D57A3A">
        <w:rPr>
          <w:color w:val="FF0000"/>
        </w:rPr>
        <w:t xml:space="preserve"> of federal monies other than Fiscal Recovery Funds may trigger </w:t>
      </w:r>
      <w:r w:rsidR="00A5314D" w:rsidRPr="00D57A3A">
        <w:rPr>
          <w:color w:val="FF0000"/>
        </w:rPr>
        <w:t>domestic preference requirements in other federal laws</w:t>
      </w:r>
      <w:r w:rsidR="00062D54" w:rsidRPr="00D57A3A">
        <w:rPr>
          <w:color w:val="FF0000"/>
        </w:rPr>
        <w:t xml:space="preserve"> or regulations</w:t>
      </w:r>
      <w:r w:rsidR="00FE2034" w:rsidRPr="00D57A3A">
        <w:rPr>
          <w:color w:val="FF0000"/>
        </w:rPr>
        <w:t xml:space="preserve">.  </w:t>
      </w:r>
      <w:r w:rsidR="00FE2034" w:rsidRPr="00D57A3A">
        <w:rPr>
          <w:i/>
          <w:iCs/>
          <w:color w:val="FF0000"/>
        </w:rPr>
        <w:t>See, e.g.</w:t>
      </w:r>
      <w:r w:rsidR="00FE2034" w:rsidRPr="00D57A3A">
        <w:rPr>
          <w:color w:val="FF0000"/>
        </w:rPr>
        <w:t xml:space="preserve">, </w:t>
      </w:r>
      <w:hyperlink r:id="rId81" w:history="1">
        <w:r w:rsidR="00062D54" w:rsidRPr="002B5ECD">
          <w:rPr>
            <w:rStyle w:val="Hyperlink"/>
          </w:rPr>
          <w:t>49 C.F.R.</w:t>
        </w:r>
        <w:r w:rsidR="00EC635E" w:rsidRPr="002B5ECD">
          <w:rPr>
            <w:rStyle w:val="Hyperlink"/>
          </w:rPr>
          <w:t xml:space="preserve"> </w:t>
        </w:r>
        <w:r w:rsidR="00062D54" w:rsidRPr="002B5ECD">
          <w:rPr>
            <w:rStyle w:val="Hyperlink"/>
          </w:rPr>
          <w:t>661.5(a)</w:t>
        </w:r>
      </w:hyperlink>
      <w:r w:rsidR="00062D54" w:rsidRPr="00D57A3A">
        <w:rPr>
          <w:color w:val="FF0000"/>
        </w:rPr>
        <w:t xml:space="preserve"> </w:t>
      </w:r>
      <w:r w:rsidR="00EC635E" w:rsidRPr="00D57A3A">
        <w:rPr>
          <w:color w:val="FF0000"/>
        </w:rPr>
        <w:t>(</w:t>
      </w:r>
      <w:r w:rsidR="00062D54" w:rsidRPr="00D57A3A">
        <w:rPr>
          <w:color w:val="FF0000"/>
        </w:rPr>
        <w:t xml:space="preserve">subject to limited exceptions, </w:t>
      </w:r>
      <w:r w:rsidR="006D026A" w:rsidRPr="00D57A3A">
        <w:rPr>
          <w:color w:val="FF0000"/>
        </w:rPr>
        <w:t>prohibiting the obligation of any</w:t>
      </w:r>
      <w:r w:rsidR="00AE33F1" w:rsidRPr="00D57A3A">
        <w:rPr>
          <w:color w:val="FF0000"/>
        </w:rPr>
        <w:t xml:space="preserve"> </w:t>
      </w:r>
      <w:r w:rsidR="00EC635E" w:rsidRPr="00D57A3A">
        <w:rPr>
          <w:color w:val="FF0000"/>
        </w:rPr>
        <w:t xml:space="preserve">Federal monies </w:t>
      </w:r>
      <w:r w:rsidR="00062D54" w:rsidRPr="00D57A3A">
        <w:rPr>
          <w:color w:val="FF0000"/>
        </w:rPr>
        <w:t>by the Federal Transit Administration</w:t>
      </w:r>
      <w:r w:rsidR="00AE33F1" w:rsidRPr="00D57A3A">
        <w:rPr>
          <w:color w:val="FF0000"/>
        </w:rPr>
        <w:t xml:space="preserve"> </w:t>
      </w:r>
      <w:r w:rsidR="006D026A" w:rsidRPr="00D57A3A">
        <w:rPr>
          <w:color w:val="FF0000"/>
        </w:rPr>
        <w:t xml:space="preserve">unless all iron, steel, and manufactured </w:t>
      </w:r>
      <w:r w:rsidR="00672DDB" w:rsidRPr="00D57A3A">
        <w:rPr>
          <w:color w:val="FF0000"/>
        </w:rPr>
        <w:t xml:space="preserve">products used in the funded project are </w:t>
      </w:r>
      <w:r w:rsidR="002D286C">
        <w:rPr>
          <w:color w:val="FF0000"/>
        </w:rPr>
        <w:t>“</w:t>
      </w:r>
      <w:r w:rsidR="00672DDB" w:rsidRPr="00D57A3A">
        <w:rPr>
          <w:color w:val="FF0000"/>
        </w:rPr>
        <w:t>produced in the United States</w:t>
      </w:r>
      <w:r w:rsidR="002D286C">
        <w:rPr>
          <w:color w:val="FF0000"/>
        </w:rPr>
        <w:t>”</w:t>
      </w:r>
      <w:r w:rsidR="00672DDB" w:rsidRPr="00D57A3A">
        <w:rPr>
          <w:color w:val="FF0000"/>
        </w:rPr>
        <w:t>).</w:t>
      </w:r>
    </w:p>
  </w:footnote>
  <w:footnote w:id="41">
    <w:p w14:paraId="03D0C88F" w14:textId="21907C02" w:rsidR="00742867" w:rsidRPr="00D57A3A" w:rsidRDefault="00742867"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2D286C">
        <w:rPr>
          <w:color w:val="FF0000"/>
          <w:u w:val="single"/>
        </w:rPr>
        <w:t>Section XI</w:t>
      </w:r>
      <w:r w:rsidR="002D286C" w:rsidRPr="002D286C">
        <w:rPr>
          <w:color w:val="FF0000"/>
          <w:u w:val="single"/>
        </w:rPr>
        <w:t>I</w:t>
      </w:r>
      <w:r w:rsidRPr="00D57A3A">
        <w:rPr>
          <w:color w:val="FF0000"/>
        </w:rPr>
        <w:t xml:space="preserve"> addresses the requirements of </w:t>
      </w:r>
      <w:hyperlink r:id="rId82" w:history="1">
        <w:r w:rsidRPr="002D286C">
          <w:rPr>
            <w:rStyle w:val="Hyperlink"/>
          </w:rPr>
          <w:t>2 C.F.R. § 200.321</w:t>
        </w:r>
      </w:hyperlink>
      <w:r w:rsidRPr="00D57A3A">
        <w:rPr>
          <w:color w:val="FF0000"/>
        </w:rPr>
        <w:t xml:space="preserve">, which requires </w:t>
      </w:r>
      <w:r w:rsidR="00773DF0" w:rsidRPr="00D57A3A">
        <w:rPr>
          <w:color w:val="FF0000"/>
        </w:rPr>
        <w:t xml:space="preserve">recipients </w:t>
      </w:r>
      <w:r w:rsidR="00AC6E5D" w:rsidRPr="00D57A3A">
        <w:rPr>
          <w:color w:val="FF0000"/>
        </w:rPr>
        <w:t>and</w:t>
      </w:r>
      <w:r w:rsidR="00773DF0" w:rsidRPr="00D57A3A">
        <w:rPr>
          <w:color w:val="FF0000"/>
        </w:rPr>
        <w:t xml:space="preserve"> subrecipients of </w:t>
      </w:r>
      <w:r w:rsidR="00AE4794" w:rsidRPr="00D57A3A">
        <w:rPr>
          <w:color w:val="FF0000"/>
        </w:rPr>
        <w:t>federal grant funds</w:t>
      </w:r>
      <w:r w:rsidR="00AC6E5D" w:rsidRPr="00D57A3A">
        <w:rPr>
          <w:color w:val="FF0000"/>
        </w:rPr>
        <w:t>, when entering into any contract</w:t>
      </w:r>
      <w:r w:rsidR="00AE4794" w:rsidRPr="00D57A3A">
        <w:rPr>
          <w:color w:val="FF0000"/>
        </w:rPr>
        <w:t xml:space="preserve"> subject to the federal procurement standards in </w:t>
      </w:r>
      <w:hyperlink r:id="rId83" w:history="1">
        <w:r w:rsidR="00AE4794" w:rsidRPr="00BE1A78">
          <w:rPr>
            <w:rStyle w:val="Hyperlink"/>
          </w:rPr>
          <w:t>Subpart D of 2 C.F.R. Part 200</w:t>
        </w:r>
      </w:hyperlink>
      <w:r w:rsidR="00AE4794" w:rsidRPr="00D57A3A">
        <w:rPr>
          <w:color w:val="FF0000"/>
        </w:rPr>
        <w:t xml:space="preserve"> </w:t>
      </w:r>
      <w:r w:rsidR="00E732A5" w:rsidRPr="00D57A3A">
        <w:rPr>
          <w:color w:val="FF0000"/>
        </w:rPr>
        <w:t xml:space="preserve">to take </w:t>
      </w:r>
      <w:r w:rsidR="00AC6E5D" w:rsidRPr="00D57A3A">
        <w:rPr>
          <w:color w:val="FF0000"/>
        </w:rPr>
        <w:t>“all necessary affirmative steps to assure that minority businesses, women’s businesses, and labor surplus area firms are used when possible.</w:t>
      </w:r>
      <w:r w:rsidR="00AE4794" w:rsidRPr="00D57A3A">
        <w:rPr>
          <w:color w:val="FF0000"/>
        </w:rPr>
        <w:t xml:space="preserve">”  2 C.F.R. § 200.321(a).  </w:t>
      </w:r>
      <w:r w:rsidR="007153AF" w:rsidRPr="00D57A3A">
        <w:rPr>
          <w:color w:val="FF0000"/>
        </w:rPr>
        <w:t xml:space="preserve">The regulation lists those affirmative steps </w:t>
      </w:r>
      <w:proofErr w:type="gramStart"/>
      <w:r w:rsidR="007153AF" w:rsidRPr="00D57A3A">
        <w:rPr>
          <w:color w:val="FF0000"/>
        </w:rPr>
        <w:t>and also</w:t>
      </w:r>
      <w:proofErr w:type="gramEnd"/>
      <w:r w:rsidR="007153AF" w:rsidRPr="00D57A3A">
        <w:rPr>
          <w:color w:val="FF0000"/>
        </w:rPr>
        <w:t xml:space="preserve"> mandates that a </w:t>
      </w:r>
      <w:r w:rsidR="00AE4794" w:rsidRPr="00D57A3A">
        <w:rPr>
          <w:color w:val="FF0000"/>
        </w:rPr>
        <w:t xml:space="preserve">non-Federal entity </w:t>
      </w:r>
      <w:r w:rsidR="007C17CF" w:rsidRPr="00D57A3A">
        <w:rPr>
          <w:color w:val="FF0000"/>
        </w:rPr>
        <w:t xml:space="preserve">require its prime contractors </w:t>
      </w:r>
      <w:r w:rsidR="007153AF" w:rsidRPr="00D57A3A">
        <w:rPr>
          <w:color w:val="FF0000"/>
        </w:rPr>
        <w:t xml:space="preserve">to take these steps should the prime contractor let any subcontracts.  </w:t>
      </w:r>
      <w:r w:rsidR="007153AF" w:rsidRPr="00D57A3A">
        <w:rPr>
          <w:i/>
          <w:iCs/>
          <w:color w:val="FF0000"/>
        </w:rPr>
        <w:t>See</w:t>
      </w:r>
      <w:r w:rsidR="007153AF" w:rsidRPr="00D57A3A">
        <w:rPr>
          <w:color w:val="FF0000"/>
        </w:rPr>
        <w:t xml:space="preserve"> 2 C.F.R. § 200.</w:t>
      </w:r>
      <w:r w:rsidR="00084A4A" w:rsidRPr="00D57A3A">
        <w:rPr>
          <w:color w:val="FF0000"/>
        </w:rPr>
        <w:t>321(b)(6).</w:t>
      </w:r>
      <w:r w:rsidR="002E2934" w:rsidRPr="00D57A3A">
        <w:rPr>
          <w:color w:val="FF0000"/>
        </w:rPr>
        <w:t xml:space="preserve">  </w:t>
      </w:r>
      <w:r w:rsidR="001E517E" w:rsidRPr="00D57A3A">
        <w:rPr>
          <w:color w:val="FF0000"/>
        </w:rPr>
        <w:t xml:space="preserve">These affirmative steps </w:t>
      </w:r>
      <w:r w:rsidR="00D0314E" w:rsidRPr="00D57A3A">
        <w:rPr>
          <w:color w:val="FF0000"/>
        </w:rPr>
        <w:t>apply</w:t>
      </w:r>
      <w:r w:rsidR="001E517E" w:rsidRPr="00D57A3A">
        <w:rPr>
          <w:color w:val="FF0000"/>
        </w:rPr>
        <w:t xml:space="preserve"> to all contracts let with federal grant funds</w:t>
      </w:r>
      <w:r w:rsidR="00D0314E" w:rsidRPr="00D57A3A">
        <w:rPr>
          <w:color w:val="FF0000"/>
        </w:rPr>
        <w:t xml:space="preserve"> </w:t>
      </w:r>
      <w:r w:rsidR="0095320D" w:rsidRPr="00D57A3A">
        <w:rPr>
          <w:color w:val="FF0000"/>
        </w:rPr>
        <w:t xml:space="preserve">are not limited to contracts for construction or repair work.  </w:t>
      </w:r>
      <w:r w:rsidR="00D05FE9" w:rsidRPr="00D57A3A">
        <w:rPr>
          <w:color w:val="FF0000"/>
        </w:rPr>
        <w:t xml:space="preserve">While </w:t>
      </w:r>
      <w:r w:rsidR="00D05FE9">
        <w:rPr>
          <w:color w:val="FF0000"/>
        </w:rPr>
        <w:t>the Uniform Guidance does not expressly require inclusion of this clause</w:t>
      </w:r>
      <w:r w:rsidR="00D05FE9" w:rsidRPr="00D57A3A">
        <w:rPr>
          <w:color w:val="FF0000"/>
        </w:rPr>
        <w:t>, it could assist a recipient or subrecipient in</w:t>
      </w:r>
      <w:r w:rsidR="00D05FE9">
        <w:rPr>
          <w:color w:val="FF0000"/>
        </w:rPr>
        <w:t xml:space="preserve"> demonstrating that it required a prime contractor to take the affirmative steps.</w:t>
      </w:r>
    </w:p>
  </w:footnote>
  <w:footnote w:id="42">
    <w:p w14:paraId="100AAF80" w14:textId="292782A1" w:rsidR="00FE5E6D" w:rsidRPr="00D57A3A" w:rsidRDefault="00FE5E6D"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u w:val="single"/>
        </w:rPr>
        <w:t>:</w:t>
      </w:r>
      <w:r w:rsidRPr="00D57A3A">
        <w:rPr>
          <w:color w:val="FF0000"/>
        </w:rPr>
        <w:t xml:space="preserve"> </w:t>
      </w:r>
      <w:hyperlink r:id="rId84" w:history="1">
        <w:r w:rsidR="008F2D88" w:rsidRPr="0085273B">
          <w:rPr>
            <w:rStyle w:val="Hyperlink"/>
          </w:rPr>
          <w:t>2 C.F.R. § 200.321</w:t>
        </w:r>
      </w:hyperlink>
      <w:r w:rsidRPr="00D57A3A">
        <w:rPr>
          <w:color w:val="FF0000"/>
        </w:rPr>
        <w:t xml:space="preserve"> does not expressly or by reference define “minority business”, “women’s business enterprise”, or “</w:t>
      </w:r>
      <w:r w:rsidR="008F2D88" w:rsidRPr="00D57A3A">
        <w:rPr>
          <w:color w:val="FF0000"/>
        </w:rPr>
        <w:t>small business</w:t>
      </w:r>
      <w:r w:rsidRPr="00D57A3A">
        <w:rPr>
          <w:color w:val="FF0000"/>
        </w:rPr>
        <w:t xml:space="preserve">.”  </w:t>
      </w:r>
      <w:r w:rsidR="00662859" w:rsidRPr="00D57A3A">
        <w:rPr>
          <w:color w:val="FF0000"/>
        </w:rPr>
        <w:t xml:space="preserve">Treasury has not released any interpretative guidance of these definitions for purposes of the Fiscal Recovery Funds.  </w:t>
      </w:r>
      <w:r w:rsidR="00C9731E" w:rsidRPr="00D57A3A">
        <w:rPr>
          <w:color w:val="FF0000"/>
        </w:rPr>
        <w:t xml:space="preserve">In another context, </w:t>
      </w:r>
      <w:r w:rsidR="00662859" w:rsidRPr="00D57A3A">
        <w:rPr>
          <w:color w:val="FF0000"/>
        </w:rPr>
        <w:t>FE</w:t>
      </w:r>
      <w:r w:rsidR="004B3196" w:rsidRPr="00D57A3A">
        <w:rPr>
          <w:color w:val="FF0000"/>
        </w:rPr>
        <w:t xml:space="preserve">MA </w:t>
      </w:r>
      <w:r w:rsidR="00C9731E" w:rsidRPr="00D57A3A">
        <w:rPr>
          <w:color w:val="FF0000"/>
        </w:rPr>
        <w:t>has accepted</w:t>
      </w:r>
      <w:r w:rsidR="004B3196" w:rsidRPr="00D57A3A">
        <w:rPr>
          <w:color w:val="FF0000"/>
        </w:rPr>
        <w:t xml:space="preserve"> the definitions of these terms set forth in state and local laws and regulations.  </w:t>
      </w:r>
      <w:r w:rsidR="004B3196" w:rsidRPr="00D57A3A">
        <w:rPr>
          <w:i/>
          <w:iCs/>
          <w:color w:val="FF0000"/>
        </w:rPr>
        <w:t>See</w:t>
      </w:r>
      <w:r w:rsidR="004B3196" w:rsidRPr="00D57A3A">
        <w:rPr>
          <w:color w:val="FF0000"/>
        </w:rPr>
        <w:t xml:space="preserve"> </w:t>
      </w:r>
      <w:hyperlink r:id="rId85" w:history="1">
        <w:r w:rsidR="0085273B">
          <w:rPr>
            <w:rStyle w:val="Hyperlink"/>
            <w:color w:val="FF0000"/>
          </w:rPr>
          <w:t xml:space="preserve">Federal Emergency Management Agency, </w:t>
        </w:r>
        <w:r w:rsidR="00B3493B">
          <w:rPr>
            <w:rStyle w:val="Hyperlink"/>
            <w:color w:val="FF0000"/>
          </w:rPr>
          <w:t>Procurement Disaster Assistance (PDAT) Field Manual: Procurement Information for FEMA Award Recipients and Subrecipients (FM-207-21-0002) (Oct.</w:t>
        </w:r>
        <w:r w:rsidR="00995AFF">
          <w:rPr>
            <w:rStyle w:val="Hyperlink"/>
            <w:color w:val="FF0000"/>
          </w:rPr>
          <w:t xml:space="preserve"> 2021)</w:t>
        </w:r>
        <w:r w:rsidR="004B3196" w:rsidRPr="00D57A3A">
          <w:rPr>
            <w:rStyle w:val="Hyperlink"/>
            <w:color w:val="FF0000"/>
          </w:rPr>
          <w:t xml:space="preserve"> </w:t>
        </w:r>
        <w:r w:rsidR="00995AFF">
          <w:rPr>
            <w:rStyle w:val="Hyperlink"/>
            <w:color w:val="FF0000"/>
          </w:rPr>
          <w:t xml:space="preserve">(hereinafter FEMA </w:t>
        </w:r>
        <w:r w:rsidR="004B3196" w:rsidRPr="00D57A3A">
          <w:rPr>
            <w:rStyle w:val="Hyperlink"/>
            <w:color w:val="FF0000"/>
          </w:rPr>
          <w:t>PDAT Field Manual</w:t>
        </w:r>
      </w:hyperlink>
      <w:r w:rsidR="00995AFF">
        <w:rPr>
          <w:rStyle w:val="Hyperlink"/>
          <w:color w:val="FF0000"/>
        </w:rPr>
        <w:t>)</w:t>
      </w:r>
      <w:r w:rsidR="004B3196" w:rsidRPr="00D57A3A">
        <w:rPr>
          <w:color w:val="FF0000"/>
        </w:rPr>
        <w:t xml:space="preserve"> § </w:t>
      </w:r>
      <w:r w:rsidR="00F442E4">
        <w:rPr>
          <w:color w:val="FF0000"/>
        </w:rPr>
        <w:t>2 (“Definitions for Socioeconomic Firms”)</w:t>
      </w:r>
      <w:r w:rsidR="00C9731E" w:rsidRPr="00D57A3A">
        <w:rPr>
          <w:color w:val="FF0000"/>
        </w:rPr>
        <w:t>.</w:t>
      </w:r>
      <w:r w:rsidR="000358A1" w:rsidRPr="00D57A3A">
        <w:rPr>
          <w:color w:val="FF0000"/>
        </w:rPr>
        <w:t xml:space="preserve">  North Carolina law contains a definition of “historically underutilized business” that </w:t>
      </w:r>
      <w:r w:rsidR="00C03DEF" w:rsidRPr="00D57A3A">
        <w:rPr>
          <w:color w:val="FF0000"/>
        </w:rPr>
        <w:t>tracks</w:t>
      </w:r>
      <w:r w:rsidR="000358A1" w:rsidRPr="00D57A3A">
        <w:rPr>
          <w:color w:val="FF0000"/>
        </w:rPr>
        <w:t xml:space="preserve"> </w:t>
      </w:r>
      <w:r w:rsidR="00C03DEF" w:rsidRPr="00D57A3A">
        <w:rPr>
          <w:color w:val="FF0000"/>
        </w:rPr>
        <w:t xml:space="preserve">definitions of “minority business” and “women’s business enterprise” contained in federal law.  </w:t>
      </w:r>
      <w:r w:rsidR="00C03DEF" w:rsidRPr="00D57A3A">
        <w:rPr>
          <w:i/>
          <w:iCs/>
          <w:color w:val="FF0000"/>
        </w:rPr>
        <w:t xml:space="preserve">Compare </w:t>
      </w:r>
      <w:hyperlink r:id="rId86" w:history="1">
        <w:r w:rsidR="00C03DEF" w:rsidRPr="00995AFF">
          <w:rPr>
            <w:rStyle w:val="Hyperlink"/>
          </w:rPr>
          <w:t>N.C. Gen. Stat. § 143-</w:t>
        </w:r>
        <w:r w:rsidR="00B23B4F" w:rsidRPr="00995AFF">
          <w:rPr>
            <w:rStyle w:val="Hyperlink"/>
          </w:rPr>
          <w:t>128.4(a)</w:t>
        </w:r>
      </w:hyperlink>
      <w:r w:rsidR="00B23B4F" w:rsidRPr="00D57A3A">
        <w:rPr>
          <w:color w:val="FF0000"/>
        </w:rPr>
        <w:t xml:space="preserve"> </w:t>
      </w:r>
      <w:r w:rsidR="004F7E87" w:rsidRPr="00D57A3A">
        <w:rPr>
          <w:color w:val="FF0000"/>
        </w:rPr>
        <w:t xml:space="preserve">(defining “historically underutilized business”) </w:t>
      </w:r>
      <w:r w:rsidR="00B23B4F" w:rsidRPr="00D57A3A">
        <w:rPr>
          <w:i/>
          <w:iCs/>
          <w:color w:val="FF0000"/>
        </w:rPr>
        <w:t xml:space="preserve">with </w:t>
      </w:r>
      <w:hyperlink r:id="rId87" w:history="1">
        <w:r w:rsidR="00B23B4F" w:rsidRPr="00E3631F">
          <w:rPr>
            <w:rStyle w:val="Hyperlink"/>
          </w:rPr>
          <w:t>13 C.F.R. § 124.103</w:t>
        </w:r>
      </w:hyperlink>
      <w:r w:rsidR="00B23B4F" w:rsidRPr="00D57A3A">
        <w:rPr>
          <w:color w:val="FF0000"/>
        </w:rPr>
        <w:t xml:space="preserve">, </w:t>
      </w:r>
      <w:hyperlink r:id="rId88" w:history="1">
        <w:r w:rsidR="00B23B4F" w:rsidRPr="00E3631F">
          <w:rPr>
            <w:rStyle w:val="Hyperlink"/>
          </w:rPr>
          <w:t>13 C.F.R</w:t>
        </w:r>
        <w:r w:rsidR="00D0314E" w:rsidRPr="00E3631F">
          <w:rPr>
            <w:rStyle w:val="Hyperlink"/>
          </w:rPr>
          <w:t>.</w:t>
        </w:r>
        <w:r w:rsidR="00B23B4F" w:rsidRPr="00E3631F">
          <w:rPr>
            <w:rStyle w:val="Hyperlink"/>
          </w:rPr>
          <w:t xml:space="preserve"> § 124.102</w:t>
        </w:r>
      </w:hyperlink>
      <w:r w:rsidR="00B23B4F" w:rsidRPr="00D57A3A">
        <w:rPr>
          <w:color w:val="FF0000"/>
        </w:rPr>
        <w:t xml:space="preserve">, and </w:t>
      </w:r>
      <w:hyperlink r:id="rId89" w:history="1">
        <w:r w:rsidR="00B23B4F" w:rsidRPr="002A6113">
          <w:rPr>
            <w:rStyle w:val="Hyperlink"/>
          </w:rPr>
          <w:t>13 C.F</w:t>
        </w:r>
        <w:r w:rsidR="00D0314E" w:rsidRPr="002A6113">
          <w:rPr>
            <w:rStyle w:val="Hyperlink"/>
          </w:rPr>
          <w:t>.</w:t>
        </w:r>
        <w:r w:rsidR="00B23B4F" w:rsidRPr="002A6113">
          <w:rPr>
            <w:rStyle w:val="Hyperlink"/>
          </w:rPr>
          <w:t>R</w:t>
        </w:r>
        <w:r w:rsidR="00D0314E" w:rsidRPr="002A6113">
          <w:rPr>
            <w:rStyle w:val="Hyperlink"/>
          </w:rPr>
          <w:t>.</w:t>
        </w:r>
        <w:r w:rsidR="00B23B4F" w:rsidRPr="002A6113">
          <w:rPr>
            <w:rStyle w:val="Hyperlink"/>
          </w:rPr>
          <w:t xml:space="preserve"> § 124.105</w:t>
        </w:r>
      </w:hyperlink>
      <w:r w:rsidR="00B23B4F" w:rsidRPr="00D57A3A">
        <w:rPr>
          <w:color w:val="FF0000"/>
        </w:rPr>
        <w:t xml:space="preserve"> (</w:t>
      </w:r>
      <w:r w:rsidR="00D0314E" w:rsidRPr="00D57A3A">
        <w:rPr>
          <w:color w:val="FF0000"/>
        </w:rPr>
        <w:t>collectively</w:t>
      </w:r>
      <w:r w:rsidR="00B23B4F" w:rsidRPr="00D57A3A">
        <w:rPr>
          <w:color w:val="FF0000"/>
        </w:rPr>
        <w:t xml:space="preserve"> </w:t>
      </w:r>
      <w:r w:rsidR="004F7E87" w:rsidRPr="00D57A3A">
        <w:rPr>
          <w:color w:val="FF0000"/>
        </w:rPr>
        <w:t xml:space="preserve">defining “minority business”).  North Carolina law does not define “small business” in </w:t>
      </w:r>
      <w:r w:rsidR="00D02BA2" w:rsidRPr="00D57A3A">
        <w:rPr>
          <w:color w:val="FF0000"/>
        </w:rPr>
        <w:t xml:space="preserve">a procurement preference—and this definition is taken from </w:t>
      </w:r>
      <w:r w:rsidR="002A6113">
        <w:rPr>
          <w:color w:val="FF0000"/>
        </w:rPr>
        <w:t xml:space="preserve">the </w:t>
      </w:r>
      <w:r w:rsidR="00D02BA2" w:rsidRPr="00D57A3A">
        <w:rPr>
          <w:color w:val="FF0000"/>
        </w:rPr>
        <w:t>FEMA PDAT Field Manual.</w:t>
      </w:r>
    </w:p>
  </w:footnote>
  <w:footnote w:id="43">
    <w:p w14:paraId="78123168" w14:textId="2AB83BCC" w:rsidR="007D4E65" w:rsidRPr="00D57A3A" w:rsidRDefault="007D4E65"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99113F">
        <w:rPr>
          <w:color w:val="FF0000"/>
          <w:u w:val="single"/>
        </w:rPr>
        <w:t>Section XII</w:t>
      </w:r>
      <w:r w:rsidR="00D02BA2" w:rsidRPr="0099113F">
        <w:rPr>
          <w:color w:val="FF0000"/>
          <w:u w:val="single"/>
        </w:rPr>
        <w:t>I</w:t>
      </w:r>
      <w:r w:rsidRPr="0099113F">
        <w:rPr>
          <w:color w:val="FF0000"/>
          <w:u w:val="single"/>
        </w:rPr>
        <w:t>(b)</w:t>
      </w:r>
      <w:r w:rsidRPr="00D57A3A">
        <w:rPr>
          <w:color w:val="FF0000"/>
        </w:rPr>
        <w:t xml:space="preserve"> satisfies the requirements of § 4 of the </w:t>
      </w:r>
      <w:r w:rsidR="002A6113">
        <w:rPr>
          <w:color w:val="FF0000"/>
        </w:rPr>
        <w:t>Local FRF Award Terms</w:t>
      </w:r>
      <w:r w:rsidR="00DB3F74" w:rsidRPr="00D57A3A">
        <w:rPr>
          <w:color w:val="FF0000"/>
        </w:rPr>
        <w:t xml:space="preserve"> and </w:t>
      </w:r>
      <w:hyperlink r:id="rId90" w:history="1">
        <w:r w:rsidR="00DB3F74" w:rsidRPr="00780D0F">
          <w:rPr>
            <w:rStyle w:val="Hyperlink"/>
          </w:rPr>
          <w:t>2 C.F.R. § 200.334</w:t>
        </w:r>
      </w:hyperlink>
      <w:r w:rsidRPr="00D57A3A">
        <w:rPr>
          <w:color w:val="FF0000"/>
        </w:rPr>
        <w:t xml:space="preserve">. Under § 4(a), recipients of distributions of Local Fiscal Recovery Funds must “maintain records and financial documents sufficient to evidence compliance with section 603(c) of [ARPA], Treasury’s regulations implementing that section, and guidance issued by Treasury regarding the foregoing”—and, under § 4(c), a recipient must maintain these records for a period of five years after all funds have been expended or returned to Treasury, whichever is later.  </w:t>
      </w:r>
      <w:r w:rsidR="006C0B0E" w:rsidRPr="00D57A3A">
        <w:rPr>
          <w:color w:val="FF0000"/>
        </w:rPr>
        <w:t xml:space="preserve">The Uniform Guidance </w:t>
      </w:r>
      <w:r w:rsidR="00052EA2" w:rsidRPr="00D57A3A">
        <w:rPr>
          <w:color w:val="FF0000"/>
        </w:rPr>
        <w:t xml:space="preserve">requires non-Federal entities </w:t>
      </w:r>
      <w:r w:rsidR="001F2341" w:rsidRPr="00D57A3A">
        <w:rPr>
          <w:color w:val="FF0000"/>
        </w:rPr>
        <w:t>to maintain all “[f]</w:t>
      </w:r>
      <w:proofErr w:type="spellStart"/>
      <w:r w:rsidR="001F2341" w:rsidRPr="00D57A3A">
        <w:rPr>
          <w:color w:val="FF0000"/>
        </w:rPr>
        <w:t>inancial</w:t>
      </w:r>
      <w:proofErr w:type="spellEnd"/>
      <w:r w:rsidR="001F2341" w:rsidRPr="00D57A3A">
        <w:rPr>
          <w:color w:val="FF0000"/>
        </w:rPr>
        <w:t xml:space="preserve"> records, supporting documents, statistical records, and all other non-Federal entities pertinent to a </w:t>
      </w:r>
      <w:proofErr w:type="gramStart"/>
      <w:r w:rsidR="001F2341" w:rsidRPr="00D57A3A">
        <w:rPr>
          <w:color w:val="FF0000"/>
        </w:rPr>
        <w:t>Federal</w:t>
      </w:r>
      <w:proofErr w:type="gramEnd"/>
      <w:r w:rsidR="001F2341" w:rsidRPr="00D57A3A">
        <w:rPr>
          <w:color w:val="FF0000"/>
        </w:rPr>
        <w:t xml:space="preserve"> award” for </w:t>
      </w:r>
      <w:r w:rsidR="001F2341" w:rsidRPr="00D05FE9">
        <w:rPr>
          <w:i/>
          <w:iCs/>
          <w:color w:val="FF0000"/>
        </w:rPr>
        <w:t>three</w:t>
      </w:r>
      <w:r w:rsidR="001F2341" w:rsidRPr="00D57A3A">
        <w:rPr>
          <w:color w:val="FF0000"/>
        </w:rPr>
        <w:t xml:space="preserve"> years</w:t>
      </w:r>
      <w:r w:rsidR="006C0B0E" w:rsidRPr="00D57A3A">
        <w:rPr>
          <w:color w:val="FF0000"/>
        </w:rPr>
        <w:t xml:space="preserve"> unless otherwise notified by a Federal awarding agencies in writing.  </w:t>
      </w:r>
      <w:hyperlink r:id="rId91" w:history="1">
        <w:r w:rsidR="006C0B0E" w:rsidRPr="00780D0F">
          <w:rPr>
            <w:rStyle w:val="Hyperlink"/>
          </w:rPr>
          <w:t>2 C.F.R. § 200.334(b)</w:t>
        </w:r>
      </w:hyperlink>
      <w:r w:rsidR="008A35B6" w:rsidRPr="00D57A3A">
        <w:rPr>
          <w:color w:val="FF0000"/>
        </w:rPr>
        <w:t xml:space="preserve">.  Recipients and subrecipients should consider the retention period of five </w:t>
      </w:r>
      <w:r w:rsidR="00D05FE9">
        <w:rPr>
          <w:color w:val="FF0000"/>
        </w:rPr>
        <w:t>years</w:t>
      </w:r>
      <w:r w:rsidR="008A35B6" w:rsidRPr="00D57A3A">
        <w:rPr>
          <w:color w:val="FF0000"/>
        </w:rPr>
        <w:t xml:space="preserve"> stated in the Award Terms and Conditions to constitute</w:t>
      </w:r>
      <w:r w:rsidR="00D05FE9">
        <w:rPr>
          <w:color w:val="FF0000"/>
        </w:rPr>
        <w:t xml:space="preserve"> this</w:t>
      </w:r>
      <w:r w:rsidR="008A35B6" w:rsidRPr="00D57A3A">
        <w:rPr>
          <w:color w:val="FF0000"/>
        </w:rPr>
        <w:t xml:space="preserve"> written notification and should abide by this restriction.</w:t>
      </w:r>
      <w:r w:rsidR="009A46B0" w:rsidRPr="00D57A3A">
        <w:rPr>
          <w:color w:val="FF0000"/>
        </w:rPr>
        <w:t xml:space="preserve">  While inclusion of this clause is not required by the Uniform Guidance, it could assist a recipient or subrecipient in meeting the obligations discussed in this footnote.</w:t>
      </w:r>
    </w:p>
  </w:footnote>
  <w:footnote w:id="44">
    <w:p w14:paraId="746D8335" w14:textId="7E2713C2" w:rsidR="007D4E65" w:rsidRPr="00D57A3A" w:rsidRDefault="007D4E65" w:rsidP="0087745C">
      <w:pPr>
        <w:pStyle w:val="FootnoteText"/>
        <w:jc w:val="both"/>
        <w:rPr>
          <w:color w:val="FF0000"/>
        </w:rPr>
      </w:pPr>
      <w:r w:rsidRPr="00D57A3A">
        <w:rPr>
          <w:rStyle w:val="FootnoteReference"/>
          <w:color w:val="FF0000"/>
        </w:rPr>
        <w:footnoteRef/>
      </w:r>
      <w:r w:rsidRPr="00D57A3A">
        <w:rPr>
          <w:color w:val="FF0000"/>
        </w:rPr>
        <w:t xml:space="preserve"> </w:t>
      </w:r>
      <w:r w:rsidR="0073505E" w:rsidRPr="00D57A3A">
        <w:rPr>
          <w:b/>
          <w:bCs/>
          <w:color w:val="FF0000"/>
          <w:u w:val="single"/>
        </w:rPr>
        <w:t>Note to Draft</w:t>
      </w:r>
      <w:r w:rsidR="0073505E" w:rsidRPr="00D57A3A">
        <w:rPr>
          <w:color w:val="FF0000"/>
        </w:rPr>
        <w:t xml:space="preserve">:  </w:t>
      </w:r>
      <w:r w:rsidR="00E86868" w:rsidRPr="00D57A3A">
        <w:rPr>
          <w:color w:val="FF0000"/>
        </w:rPr>
        <w:t xml:space="preserve">The Uniform Guidance </w:t>
      </w:r>
      <w:r w:rsidR="00BC2BE1" w:rsidRPr="00D57A3A">
        <w:rPr>
          <w:color w:val="FF0000"/>
        </w:rPr>
        <w:t>prohibits</w:t>
      </w:r>
      <w:r w:rsidR="00F04BF4" w:rsidRPr="00D57A3A">
        <w:rPr>
          <w:color w:val="FF0000"/>
        </w:rPr>
        <w:t xml:space="preserve"> employees, officers, and agents of non-Federal entities from participating in the selection, award, or administration of </w:t>
      </w:r>
      <w:r w:rsidR="00D71E6A" w:rsidRPr="00D57A3A">
        <w:rPr>
          <w:color w:val="FF0000"/>
        </w:rPr>
        <w:t>a contract supported by federal grant funds if they, any member of their immediate family, their partner, or an organization that does or is about to employ any of those individuals</w:t>
      </w:r>
      <w:r w:rsidR="000C0A90" w:rsidRPr="00D57A3A">
        <w:rPr>
          <w:color w:val="FF0000"/>
        </w:rPr>
        <w:t>,</w:t>
      </w:r>
      <w:r w:rsidR="000D5001" w:rsidRPr="00D57A3A">
        <w:rPr>
          <w:color w:val="FF0000"/>
        </w:rPr>
        <w:t xml:space="preserve"> has a financial interest in or has received a tangible personal benefit from a firm considered for a contract.</w:t>
      </w:r>
      <w:r w:rsidR="00E86868" w:rsidRPr="00D57A3A">
        <w:rPr>
          <w:color w:val="FF0000"/>
        </w:rPr>
        <w:t xml:space="preserve">  </w:t>
      </w:r>
      <w:r w:rsidR="00E86868" w:rsidRPr="00D57A3A">
        <w:rPr>
          <w:i/>
          <w:iCs/>
          <w:color w:val="FF0000"/>
        </w:rPr>
        <w:t>See</w:t>
      </w:r>
      <w:r w:rsidR="00E86868" w:rsidRPr="00D57A3A">
        <w:rPr>
          <w:color w:val="FF0000"/>
        </w:rPr>
        <w:t xml:space="preserve"> </w:t>
      </w:r>
      <w:hyperlink r:id="rId92" w:history="1">
        <w:r w:rsidR="00E86868" w:rsidRPr="008A43E8">
          <w:rPr>
            <w:rStyle w:val="Hyperlink"/>
          </w:rPr>
          <w:t>2 C.F.R. § 200.318(c)(1)</w:t>
        </w:r>
      </w:hyperlink>
      <w:r w:rsidR="00E86868" w:rsidRPr="00D57A3A">
        <w:rPr>
          <w:color w:val="FF0000"/>
        </w:rPr>
        <w:t>.  It also prohibits officers, employees</w:t>
      </w:r>
      <w:r w:rsidR="000C0A90" w:rsidRPr="00D57A3A">
        <w:rPr>
          <w:color w:val="FF0000"/>
        </w:rPr>
        <w:t xml:space="preserve">, and agents of </w:t>
      </w:r>
      <w:r w:rsidR="00264510" w:rsidRPr="00D57A3A">
        <w:rPr>
          <w:color w:val="FF0000"/>
        </w:rPr>
        <w:t xml:space="preserve">non-Federal entities </w:t>
      </w:r>
      <w:r w:rsidR="000C0A90" w:rsidRPr="00D57A3A">
        <w:rPr>
          <w:color w:val="FF0000"/>
        </w:rPr>
        <w:t xml:space="preserve">from soliciting or accepting gratuities, favors, or anything of monetary value from </w:t>
      </w:r>
      <w:r w:rsidR="00342DA4" w:rsidRPr="00D57A3A">
        <w:rPr>
          <w:color w:val="FF0000"/>
        </w:rPr>
        <w:t xml:space="preserve">contractors or subcontracts.  </w:t>
      </w:r>
      <w:r w:rsidR="00342DA4" w:rsidRPr="00D57A3A">
        <w:rPr>
          <w:i/>
          <w:iCs/>
          <w:color w:val="FF0000"/>
        </w:rPr>
        <w:t xml:space="preserve">See </w:t>
      </w:r>
      <w:hyperlink r:id="rId93" w:history="1">
        <w:r w:rsidR="00342DA4" w:rsidRPr="008A43E8">
          <w:rPr>
            <w:rStyle w:val="Hyperlink"/>
            <w:i/>
            <w:iCs/>
          </w:rPr>
          <w:t>id.</w:t>
        </w:r>
      </w:hyperlink>
      <w:r w:rsidR="00342DA4" w:rsidRPr="00D57A3A">
        <w:rPr>
          <w:i/>
          <w:iCs/>
          <w:color w:val="FF0000"/>
        </w:rPr>
        <w:t xml:space="preserve"> </w:t>
      </w:r>
      <w:r w:rsidR="008A43E8">
        <w:rPr>
          <w:i/>
          <w:iCs/>
          <w:color w:val="FF0000"/>
        </w:rPr>
        <w:t xml:space="preserve"> </w:t>
      </w:r>
      <w:r w:rsidR="00342DA4" w:rsidRPr="00D57A3A">
        <w:rPr>
          <w:color w:val="FF0000"/>
        </w:rPr>
        <w:t>Each</w:t>
      </w:r>
      <w:r w:rsidR="00871168" w:rsidRPr="00D57A3A">
        <w:rPr>
          <w:color w:val="FF0000"/>
        </w:rPr>
        <w:t xml:space="preserve"> recipient and subrecipient</w:t>
      </w:r>
      <w:r w:rsidR="00342DA4" w:rsidRPr="00D57A3A">
        <w:rPr>
          <w:color w:val="FF0000"/>
        </w:rPr>
        <w:t xml:space="preserve"> of Fiscal Recovery Funds</w:t>
      </w:r>
      <w:r w:rsidR="00871168" w:rsidRPr="00D57A3A">
        <w:rPr>
          <w:color w:val="FF0000"/>
        </w:rPr>
        <w:t xml:space="preserve"> </w:t>
      </w:r>
      <w:r w:rsidR="00342DA4" w:rsidRPr="00D57A3A">
        <w:rPr>
          <w:color w:val="FF0000"/>
        </w:rPr>
        <w:t xml:space="preserve">must adopt and maintain written standards of conduct covering </w:t>
      </w:r>
      <w:r w:rsidR="0060519E" w:rsidRPr="00D57A3A">
        <w:rPr>
          <w:color w:val="FF0000"/>
        </w:rPr>
        <w:t xml:space="preserve">these conflicts of interest.  </w:t>
      </w:r>
      <w:r w:rsidR="008A43E8">
        <w:rPr>
          <w:i/>
          <w:iCs/>
          <w:color w:val="FF0000"/>
        </w:rPr>
        <w:t>See i</w:t>
      </w:r>
      <w:r w:rsidR="0060519E" w:rsidRPr="00D57A3A">
        <w:rPr>
          <w:i/>
          <w:iCs/>
          <w:color w:val="FF0000"/>
        </w:rPr>
        <w:t>d</w:t>
      </w:r>
      <w:r w:rsidR="008A43E8">
        <w:rPr>
          <w:i/>
          <w:iCs/>
          <w:color w:val="FF0000"/>
        </w:rPr>
        <w:t>.</w:t>
      </w:r>
      <w:r w:rsidR="008A43E8">
        <w:rPr>
          <w:color w:val="FF0000"/>
        </w:rPr>
        <w:t>;</w:t>
      </w:r>
      <w:r w:rsidR="00264510" w:rsidRPr="00D57A3A">
        <w:rPr>
          <w:i/>
          <w:iCs/>
          <w:color w:val="FF0000"/>
        </w:rPr>
        <w:t xml:space="preserve"> </w:t>
      </w:r>
      <w:r w:rsidR="008A43E8">
        <w:rPr>
          <w:i/>
          <w:iCs/>
          <w:color w:val="FF0000"/>
        </w:rPr>
        <w:t>s</w:t>
      </w:r>
      <w:r w:rsidR="00264510" w:rsidRPr="00D57A3A">
        <w:rPr>
          <w:i/>
          <w:iCs/>
          <w:color w:val="FF0000"/>
        </w:rPr>
        <w:t>ee also</w:t>
      </w:r>
      <w:r w:rsidR="0073505E" w:rsidRPr="00D57A3A">
        <w:rPr>
          <w:i/>
          <w:iCs/>
          <w:color w:val="FF0000"/>
        </w:rPr>
        <w:t xml:space="preserve"> </w:t>
      </w:r>
      <w:r w:rsidR="0073505E" w:rsidRPr="00D57A3A">
        <w:rPr>
          <w:color w:val="FF0000"/>
        </w:rPr>
        <w:t>Section 8</w:t>
      </w:r>
      <w:r w:rsidR="008967FF" w:rsidRPr="00D57A3A">
        <w:rPr>
          <w:color w:val="FF0000"/>
        </w:rPr>
        <w:t xml:space="preserve"> of the </w:t>
      </w:r>
      <w:r w:rsidR="008A43E8">
        <w:rPr>
          <w:color w:val="FF0000"/>
        </w:rPr>
        <w:t xml:space="preserve">Local FRF Award </w:t>
      </w:r>
      <w:proofErr w:type="spellStart"/>
      <w:r w:rsidR="008A43E8">
        <w:rPr>
          <w:color w:val="FF0000"/>
        </w:rPr>
        <w:t>TErms</w:t>
      </w:r>
      <w:proofErr w:type="spellEnd"/>
      <w:r w:rsidR="0073505E" w:rsidRPr="00D57A3A">
        <w:rPr>
          <w:color w:val="FF0000"/>
        </w:rPr>
        <w:t xml:space="preserve"> (“Recipient understands and agrees that it must maintain a </w:t>
      </w:r>
      <w:proofErr w:type="gramStart"/>
      <w:r w:rsidR="0073505E" w:rsidRPr="00D57A3A">
        <w:rPr>
          <w:color w:val="FF0000"/>
        </w:rPr>
        <w:t>conflict of interest</w:t>
      </w:r>
      <w:proofErr w:type="gramEnd"/>
      <w:r w:rsidR="0073505E" w:rsidRPr="00D57A3A">
        <w:rPr>
          <w:color w:val="FF0000"/>
        </w:rPr>
        <w:t xml:space="preserve"> policy consistent with 2 C.F.R. § 200.318(c) and that such conflict of interest policy is applicable to each activity funded under this award.”).</w:t>
      </w:r>
      <w:r w:rsidR="003936F6" w:rsidRPr="00D57A3A">
        <w:rPr>
          <w:i/>
          <w:iCs/>
          <w:color w:val="FF0000"/>
        </w:rPr>
        <w:t xml:space="preserve">  </w:t>
      </w:r>
      <w:r w:rsidR="0060519E" w:rsidRPr="00D57A3A">
        <w:rPr>
          <w:color w:val="FF0000"/>
        </w:rPr>
        <w:t>W</w:t>
      </w:r>
      <w:r w:rsidR="000D5001" w:rsidRPr="00D57A3A">
        <w:rPr>
          <w:color w:val="FF0000"/>
        </w:rPr>
        <w:t>hile</w:t>
      </w:r>
      <w:r w:rsidR="008F21B5" w:rsidRPr="00D57A3A">
        <w:rPr>
          <w:color w:val="FF0000"/>
        </w:rPr>
        <w:t xml:space="preserve"> </w:t>
      </w:r>
      <w:r w:rsidR="00871168" w:rsidRPr="00D57A3A">
        <w:rPr>
          <w:color w:val="FF0000"/>
        </w:rPr>
        <w:t xml:space="preserve">the Uniform Guidance does not require </w:t>
      </w:r>
      <w:r w:rsidR="00E86868" w:rsidRPr="00D57A3A">
        <w:rPr>
          <w:color w:val="FF0000"/>
        </w:rPr>
        <w:t>a contractor to make the</w:t>
      </w:r>
      <w:r w:rsidR="00871168" w:rsidRPr="00D57A3A">
        <w:rPr>
          <w:color w:val="FF0000"/>
        </w:rPr>
        <w:t xml:space="preserve"> certification</w:t>
      </w:r>
      <w:r w:rsidR="00E86868" w:rsidRPr="00D57A3A">
        <w:rPr>
          <w:color w:val="FF0000"/>
        </w:rPr>
        <w:t>s</w:t>
      </w:r>
      <w:r w:rsidR="00871168" w:rsidRPr="00D57A3A">
        <w:rPr>
          <w:color w:val="FF0000"/>
        </w:rPr>
        <w:t xml:space="preserve"> contained </w:t>
      </w:r>
      <w:r w:rsidR="00E86868" w:rsidRPr="00D57A3A">
        <w:rPr>
          <w:color w:val="FF0000"/>
        </w:rPr>
        <w:t xml:space="preserve">in </w:t>
      </w:r>
      <w:r w:rsidR="00E86868" w:rsidRPr="00B45189">
        <w:rPr>
          <w:color w:val="FF0000"/>
          <w:u w:val="single"/>
        </w:rPr>
        <w:t xml:space="preserve">Sections </w:t>
      </w:r>
      <w:r w:rsidR="00B45189" w:rsidRPr="00B45189">
        <w:rPr>
          <w:color w:val="FF0000"/>
          <w:u w:val="single"/>
        </w:rPr>
        <w:t>XIV</w:t>
      </w:r>
      <w:r w:rsidR="00E86868" w:rsidRPr="00B45189">
        <w:rPr>
          <w:color w:val="FF0000"/>
          <w:u w:val="single"/>
        </w:rPr>
        <w:t>(b)</w:t>
      </w:r>
      <w:r w:rsidR="00E86868" w:rsidRPr="00D57A3A">
        <w:rPr>
          <w:color w:val="FF0000"/>
        </w:rPr>
        <w:t xml:space="preserve"> </w:t>
      </w:r>
      <w:r w:rsidR="008A43E8">
        <w:rPr>
          <w:color w:val="FF0000"/>
        </w:rPr>
        <w:t>or</w:t>
      </w:r>
      <w:r w:rsidR="00E86868" w:rsidRPr="00D57A3A">
        <w:rPr>
          <w:color w:val="FF0000"/>
        </w:rPr>
        <w:t xml:space="preserve"> </w:t>
      </w:r>
      <w:r w:rsidR="00B45189" w:rsidRPr="00B45189">
        <w:rPr>
          <w:color w:val="FF0000"/>
          <w:u w:val="single"/>
        </w:rPr>
        <w:t>XIV</w:t>
      </w:r>
      <w:r w:rsidR="00E86868" w:rsidRPr="00B45189">
        <w:rPr>
          <w:color w:val="FF0000"/>
          <w:u w:val="single"/>
        </w:rPr>
        <w:t>(c)</w:t>
      </w:r>
      <w:r w:rsidR="00E86868" w:rsidRPr="00D57A3A">
        <w:rPr>
          <w:color w:val="FF0000"/>
        </w:rPr>
        <w:t xml:space="preserve">, securing these </w:t>
      </w:r>
      <w:r w:rsidR="00A93BAB" w:rsidRPr="00D57A3A">
        <w:rPr>
          <w:color w:val="FF0000"/>
        </w:rPr>
        <w:t>representation</w:t>
      </w:r>
      <w:r w:rsidR="00E86868" w:rsidRPr="00D57A3A">
        <w:rPr>
          <w:color w:val="FF0000"/>
        </w:rPr>
        <w:t>s</w:t>
      </w:r>
      <w:r w:rsidR="00A93BAB" w:rsidRPr="00D57A3A">
        <w:rPr>
          <w:color w:val="FF0000"/>
        </w:rPr>
        <w:t xml:space="preserve"> can </w:t>
      </w:r>
      <w:r w:rsidR="00E86868" w:rsidRPr="00D57A3A">
        <w:rPr>
          <w:color w:val="FF0000"/>
        </w:rPr>
        <w:t xml:space="preserve">act as </w:t>
      </w:r>
      <w:r w:rsidR="0073505E" w:rsidRPr="00D57A3A">
        <w:rPr>
          <w:color w:val="FF0000"/>
        </w:rPr>
        <w:t>an additional</w:t>
      </w:r>
      <w:r w:rsidR="00A93BAB" w:rsidRPr="00D57A3A">
        <w:rPr>
          <w:color w:val="FF0000"/>
        </w:rPr>
        <w:t xml:space="preserve"> protection for a recipient or subrecipient</w:t>
      </w:r>
      <w:r w:rsidR="00E86868" w:rsidRPr="00D57A3A">
        <w:rPr>
          <w:color w:val="FF0000"/>
        </w:rPr>
        <w:t>.</w:t>
      </w:r>
      <w:r w:rsidR="00A93BAB" w:rsidRPr="00D57A3A">
        <w:rPr>
          <w:color w:val="FF0000"/>
        </w:rPr>
        <w:t xml:space="preserve">  </w:t>
      </w:r>
    </w:p>
  </w:footnote>
  <w:footnote w:id="45">
    <w:p w14:paraId="28D96D36" w14:textId="5B258276" w:rsidR="009444C0" w:rsidRPr="00D57A3A" w:rsidRDefault="00CE61D6" w:rsidP="009444C0">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009C67E6" w:rsidRPr="00D57A3A">
        <w:rPr>
          <w:color w:val="FF0000"/>
        </w:rPr>
        <w:t>As a condition of receiving a distribution of</w:t>
      </w:r>
      <w:r w:rsidR="0006124A" w:rsidRPr="00D57A3A">
        <w:rPr>
          <w:color w:val="FF0000"/>
        </w:rPr>
        <w:t xml:space="preserve"> monies from the</w:t>
      </w:r>
      <w:r w:rsidR="009C67E6" w:rsidRPr="00D57A3A">
        <w:rPr>
          <w:color w:val="FF0000"/>
        </w:rPr>
        <w:t xml:space="preserve"> Fiscal Recovery Funds, each recipient executed</w:t>
      </w:r>
      <w:r w:rsidR="00DA230E" w:rsidRPr="00D57A3A">
        <w:rPr>
          <w:color w:val="FF0000"/>
        </w:rPr>
        <w:t xml:space="preserve"> and submitted to the U.S. Department of the Treasury</w:t>
      </w:r>
      <w:r w:rsidR="009C67E6" w:rsidRPr="00D57A3A">
        <w:rPr>
          <w:color w:val="FF0000"/>
        </w:rPr>
        <w:t xml:space="preserve"> a</w:t>
      </w:r>
      <w:r w:rsidR="009A5EB7" w:rsidRPr="00D57A3A">
        <w:rPr>
          <w:color w:val="FF0000"/>
        </w:rPr>
        <w:t>n</w:t>
      </w:r>
      <w:r w:rsidR="009C67E6" w:rsidRPr="00D57A3A">
        <w:rPr>
          <w:color w:val="FF0000"/>
        </w:rPr>
        <w:t xml:space="preserve"> </w:t>
      </w:r>
      <w:hyperlink r:id="rId94" w:history="1">
        <w:r w:rsidR="009C67E6" w:rsidRPr="00D57A3A">
          <w:rPr>
            <w:rStyle w:val="Hyperlink"/>
            <w:color w:val="FF0000"/>
            <w:u w:val="none"/>
          </w:rPr>
          <w:t>Assurances of Compliance With Civil Rights Requirements</w:t>
        </w:r>
      </w:hyperlink>
      <w:r w:rsidR="009C67E6" w:rsidRPr="00D57A3A">
        <w:rPr>
          <w:rStyle w:val="Hyperlink"/>
          <w:color w:val="FF0000"/>
          <w:u w:val="none"/>
        </w:rPr>
        <w:t xml:space="preserve"> (the “Assurances”).</w:t>
      </w:r>
      <w:r w:rsidR="00DA230E" w:rsidRPr="00D57A3A">
        <w:rPr>
          <w:rStyle w:val="Hyperlink"/>
          <w:color w:val="FF0000"/>
          <w:u w:val="none"/>
        </w:rPr>
        <w:t xml:space="preserve">  </w:t>
      </w:r>
      <w:r w:rsidR="009729A7" w:rsidRPr="00D57A3A">
        <w:rPr>
          <w:rStyle w:val="Hyperlink"/>
          <w:color w:val="FF0000"/>
          <w:u w:val="none"/>
        </w:rPr>
        <w:t xml:space="preserve">In the Assurances, recipients agreed to </w:t>
      </w:r>
      <w:r w:rsidR="00844ED0" w:rsidRPr="00D57A3A">
        <w:rPr>
          <w:rStyle w:val="Hyperlink"/>
          <w:color w:val="FF0000"/>
          <w:u w:val="none"/>
        </w:rPr>
        <w:t>comply with Title VI of the Civil Rights Act of 1964, which prohibits</w:t>
      </w:r>
      <w:r w:rsidR="0053391B" w:rsidRPr="00D57A3A">
        <w:rPr>
          <w:rStyle w:val="Hyperlink"/>
          <w:color w:val="FF0000"/>
          <w:u w:val="none"/>
        </w:rPr>
        <w:t xml:space="preserve"> </w:t>
      </w:r>
      <w:r w:rsidR="00865DDB" w:rsidRPr="00D57A3A">
        <w:rPr>
          <w:rStyle w:val="Hyperlink"/>
          <w:color w:val="FF0000"/>
          <w:u w:val="none"/>
        </w:rPr>
        <w:t xml:space="preserve">exclusion </w:t>
      </w:r>
      <w:r w:rsidR="00844ED0" w:rsidRPr="00D57A3A">
        <w:rPr>
          <w:rStyle w:val="Hyperlink"/>
          <w:color w:val="FF0000"/>
          <w:u w:val="none"/>
        </w:rPr>
        <w:t>from participation</w:t>
      </w:r>
      <w:r w:rsidR="002C3004" w:rsidRPr="00D57A3A">
        <w:rPr>
          <w:rStyle w:val="Hyperlink"/>
          <w:color w:val="FF0000"/>
          <w:u w:val="none"/>
        </w:rPr>
        <w:t xml:space="preserve"> in</w:t>
      </w:r>
      <w:r w:rsidR="00844ED0" w:rsidRPr="00D57A3A">
        <w:rPr>
          <w:rStyle w:val="Hyperlink"/>
          <w:color w:val="FF0000"/>
          <w:u w:val="none"/>
        </w:rPr>
        <w:t xml:space="preserve">, denial of the </w:t>
      </w:r>
      <w:r w:rsidR="00CC1139" w:rsidRPr="00D57A3A">
        <w:rPr>
          <w:rStyle w:val="Hyperlink"/>
          <w:color w:val="FF0000"/>
          <w:u w:val="none"/>
        </w:rPr>
        <w:t>benefits of, or subjection to discrimination under programs and activities receiving federal financial assistance, of any person in the United States</w:t>
      </w:r>
      <w:r w:rsidR="0053391B" w:rsidRPr="00D57A3A">
        <w:rPr>
          <w:rStyle w:val="Hyperlink"/>
          <w:color w:val="FF0000"/>
          <w:u w:val="none"/>
        </w:rPr>
        <w:t xml:space="preserve">, </w:t>
      </w:r>
      <w:proofErr w:type="gramStart"/>
      <w:r w:rsidR="0053391B" w:rsidRPr="00D57A3A">
        <w:rPr>
          <w:rStyle w:val="Hyperlink"/>
          <w:color w:val="FF0000"/>
          <w:u w:val="none"/>
        </w:rPr>
        <w:t>on the basis of</w:t>
      </w:r>
      <w:proofErr w:type="gramEnd"/>
      <w:r w:rsidR="0053391B" w:rsidRPr="00D57A3A">
        <w:rPr>
          <w:rStyle w:val="Hyperlink"/>
          <w:color w:val="FF0000"/>
          <w:u w:val="none"/>
        </w:rPr>
        <w:t xml:space="preserve"> race, color, or national origin</w:t>
      </w:r>
      <w:r w:rsidR="00865DDB" w:rsidRPr="00D57A3A">
        <w:rPr>
          <w:rStyle w:val="Hyperlink"/>
          <w:color w:val="FF0000"/>
          <w:u w:val="none"/>
        </w:rPr>
        <w:t xml:space="preserve">.  </w:t>
      </w:r>
      <w:r w:rsidR="00865DDB" w:rsidRPr="00D57A3A">
        <w:rPr>
          <w:rStyle w:val="Hyperlink"/>
          <w:i/>
          <w:iCs/>
          <w:color w:val="FF0000"/>
          <w:u w:val="none"/>
        </w:rPr>
        <w:t>See</w:t>
      </w:r>
      <w:r w:rsidR="00865DDB" w:rsidRPr="00D57A3A">
        <w:rPr>
          <w:rStyle w:val="Hyperlink"/>
          <w:color w:val="FF0000"/>
          <w:u w:val="none"/>
        </w:rPr>
        <w:t xml:space="preserve"> </w:t>
      </w:r>
      <w:hyperlink r:id="rId95" w:history="1">
        <w:r w:rsidR="00865DDB" w:rsidRPr="00515649">
          <w:rPr>
            <w:rStyle w:val="Hyperlink"/>
          </w:rPr>
          <w:t>42 U.S.C. § 2000d</w:t>
        </w:r>
      </w:hyperlink>
      <w:r w:rsidR="0039578A" w:rsidRPr="00D57A3A">
        <w:rPr>
          <w:rStyle w:val="Hyperlink"/>
          <w:color w:val="FF0000"/>
          <w:u w:val="none"/>
        </w:rPr>
        <w:t xml:space="preserve">; </w:t>
      </w:r>
      <w:hyperlink r:id="rId96" w:history="1">
        <w:r w:rsidR="00D21C21" w:rsidRPr="00515649">
          <w:rPr>
            <w:rStyle w:val="Hyperlink"/>
          </w:rPr>
          <w:t>31 C.F.R. § 22.</w:t>
        </w:r>
        <w:r w:rsidR="00BC4131" w:rsidRPr="00515649">
          <w:rPr>
            <w:rStyle w:val="Hyperlink"/>
          </w:rPr>
          <w:t>5</w:t>
        </w:r>
        <w:r w:rsidR="00D21C21" w:rsidRPr="00515649">
          <w:rPr>
            <w:rStyle w:val="Hyperlink"/>
          </w:rPr>
          <w:t>(a)</w:t>
        </w:r>
      </w:hyperlink>
      <w:r w:rsidR="0039578A" w:rsidRPr="00D57A3A">
        <w:rPr>
          <w:rStyle w:val="Hyperlink"/>
          <w:color w:val="FF0000"/>
          <w:u w:val="none"/>
        </w:rPr>
        <w:t xml:space="preserve"> (requiring an applicant for federal financial assistance to “contain, be accompanied by, or be covered by a specifically identified assurance from the applicant or recipient</w:t>
      </w:r>
      <w:r w:rsidR="00997620" w:rsidRPr="00D57A3A">
        <w:rPr>
          <w:rStyle w:val="Hyperlink"/>
          <w:color w:val="FF0000"/>
          <w:u w:val="none"/>
        </w:rPr>
        <w:t xml:space="preserve"> . . . that each program or activity operated by the applicant or recipient</w:t>
      </w:r>
      <w:r w:rsidR="00D21C21" w:rsidRPr="00D57A3A">
        <w:rPr>
          <w:rStyle w:val="Hyperlink"/>
          <w:color w:val="FF0000"/>
          <w:u w:val="none"/>
        </w:rPr>
        <w:t xml:space="preserve"> </w:t>
      </w:r>
      <w:r w:rsidR="00CD25D8" w:rsidRPr="00D57A3A">
        <w:rPr>
          <w:rStyle w:val="Hyperlink"/>
          <w:color w:val="FF0000"/>
          <w:u w:val="none"/>
        </w:rPr>
        <w:t>and to which these Title VI regulations apply will be operated in compliance with these Title VI regulations”).</w:t>
      </w:r>
      <w:r w:rsidR="009020A0" w:rsidRPr="00D57A3A">
        <w:rPr>
          <w:rStyle w:val="Hyperlink"/>
          <w:color w:val="FF0000"/>
          <w:u w:val="none"/>
        </w:rPr>
        <w:t xml:space="preserve">  </w:t>
      </w:r>
      <w:r w:rsidR="00851859" w:rsidRPr="00D57A3A">
        <w:rPr>
          <w:rStyle w:val="Hyperlink"/>
          <w:color w:val="FF0000"/>
          <w:u w:val="none"/>
        </w:rPr>
        <w:t xml:space="preserve">Treasury’s regulations, which mirror other federal implementing regulations, </w:t>
      </w:r>
      <w:r w:rsidR="004122FB" w:rsidRPr="00D57A3A">
        <w:rPr>
          <w:rStyle w:val="Hyperlink"/>
          <w:color w:val="FF0000"/>
          <w:u w:val="none"/>
        </w:rPr>
        <w:t xml:space="preserve">note that a recipient may </w:t>
      </w:r>
      <w:r w:rsidR="00A03BB9" w:rsidRPr="00D57A3A">
        <w:rPr>
          <w:rStyle w:val="Hyperlink"/>
          <w:color w:val="FF0000"/>
          <w:u w:val="none"/>
        </w:rPr>
        <w:t xml:space="preserve">not </w:t>
      </w:r>
      <w:r w:rsidR="003B4B7A" w:rsidRPr="00D57A3A">
        <w:rPr>
          <w:rStyle w:val="Hyperlink"/>
          <w:color w:val="FF0000"/>
          <w:u w:val="none"/>
        </w:rPr>
        <w:t xml:space="preserve">“directly </w:t>
      </w:r>
      <w:r w:rsidR="003B4B7A" w:rsidRPr="00D57A3A">
        <w:rPr>
          <w:rStyle w:val="Hyperlink"/>
          <w:i/>
          <w:iCs/>
          <w:color w:val="FF0000"/>
          <w:u w:val="none"/>
        </w:rPr>
        <w:t>or through contractual arrangements</w:t>
      </w:r>
      <w:r w:rsidR="003B4B7A" w:rsidRPr="00D57A3A">
        <w:rPr>
          <w:rStyle w:val="Hyperlink"/>
          <w:color w:val="FF0000"/>
          <w:u w:val="none"/>
        </w:rPr>
        <w:t>” take certain specified actions that violate Title VI.</w:t>
      </w:r>
      <w:r w:rsidR="00B45189">
        <w:rPr>
          <w:rStyle w:val="Hyperlink"/>
          <w:color w:val="FF0000"/>
          <w:u w:val="none"/>
        </w:rPr>
        <w:t xml:space="preserve">  </w:t>
      </w:r>
      <w:r w:rsidR="00B45189" w:rsidRPr="00515649">
        <w:rPr>
          <w:rStyle w:val="Hyperlink"/>
          <w:i/>
          <w:iCs/>
          <w:color w:val="FF0000"/>
          <w:u w:val="none"/>
        </w:rPr>
        <w:t>See</w:t>
      </w:r>
      <w:r w:rsidR="00397798" w:rsidRPr="00515649">
        <w:rPr>
          <w:rStyle w:val="Hyperlink"/>
          <w:i/>
          <w:iCs/>
          <w:color w:val="FF0000"/>
          <w:u w:val="none"/>
        </w:rPr>
        <w:t xml:space="preserve"> </w:t>
      </w:r>
      <w:hyperlink r:id="rId97" w:history="1">
        <w:r w:rsidR="00B45189" w:rsidRPr="00515649">
          <w:rPr>
            <w:rStyle w:val="Hyperlink"/>
          </w:rPr>
          <w:t>31 C.F.R. § 22.</w:t>
        </w:r>
        <w:r w:rsidR="00397798" w:rsidRPr="00515649">
          <w:rPr>
            <w:rStyle w:val="Hyperlink"/>
          </w:rPr>
          <w:t>4(b)</w:t>
        </w:r>
      </w:hyperlink>
      <w:r w:rsidR="00515649">
        <w:rPr>
          <w:color w:val="FF0000"/>
        </w:rPr>
        <w:t xml:space="preserve"> (emphasis added)</w:t>
      </w:r>
      <w:r w:rsidR="00397798" w:rsidRPr="00515649">
        <w:rPr>
          <w:color w:val="FF0000"/>
        </w:rPr>
        <w:t>.</w:t>
      </w:r>
      <w:r w:rsidR="003B4B7A" w:rsidRPr="00515649">
        <w:rPr>
          <w:rStyle w:val="Hyperlink"/>
          <w:color w:val="FF0000"/>
          <w:u w:val="none"/>
        </w:rPr>
        <w:t xml:space="preserve">  </w:t>
      </w:r>
      <w:r w:rsidR="00130B7E" w:rsidRPr="00D57A3A">
        <w:rPr>
          <w:rStyle w:val="Hyperlink"/>
          <w:color w:val="FF0000"/>
          <w:u w:val="none"/>
        </w:rPr>
        <w:t>To the extent that a contractor performs an “essential function”</w:t>
      </w:r>
      <w:r w:rsidR="007A3711" w:rsidRPr="00D57A3A">
        <w:rPr>
          <w:rStyle w:val="Hyperlink"/>
          <w:color w:val="FF0000"/>
          <w:u w:val="none"/>
        </w:rPr>
        <w:t xml:space="preserve"> for a recipient or subrecipient of Fiscal Recovery Funds</w:t>
      </w:r>
      <w:r w:rsidR="009B7AE4" w:rsidRPr="00D57A3A">
        <w:rPr>
          <w:rStyle w:val="Hyperlink"/>
          <w:color w:val="FF0000"/>
          <w:u w:val="none"/>
        </w:rPr>
        <w:t xml:space="preserve">, </w:t>
      </w:r>
      <w:r w:rsidR="00B45189">
        <w:rPr>
          <w:rStyle w:val="Hyperlink"/>
          <w:color w:val="FF0000"/>
          <w:u w:val="none"/>
        </w:rPr>
        <w:t xml:space="preserve">Title VI may </w:t>
      </w:r>
      <w:proofErr w:type="gramStart"/>
      <w:r w:rsidR="00B45189">
        <w:rPr>
          <w:rStyle w:val="Hyperlink"/>
          <w:color w:val="FF0000"/>
          <w:u w:val="none"/>
        </w:rPr>
        <w:t>apply</w:t>
      </w:r>
      <w:r w:rsidR="009B7AE4" w:rsidRPr="00D57A3A">
        <w:rPr>
          <w:rStyle w:val="Hyperlink"/>
          <w:color w:val="FF0000"/>
          <w:u w:val="none"/>
        </w:rPr>
        <w:t xml:space="preserve"> </w:t>
      </w:r>
      <w:r w:rsidR="007A3711" w:rsidRPr="00D57A3A">
        <w:rPr>
          <w:rStyle w:val="Hyperlink"/>
          <w:color w:val="FF0000"/>
          <w:u w:val="none"/>
        </w:rPr>
        <w:t>.</w:t>
      </w:r>
      <w:proofErr w:type="gramEnd"/>
      <w:r w:rsidR="007A3711" w:rsidRPr="00D57A3A">
        <w:rPr>
          <w:rStyle w:val="Hyperlink"/>
          <w:color w:val="FF0000"/>
          <w:u w:val="none"/>
        </w:rPr>
        <w:t xml:space="preserve">  </w:t>
      </w:r>
      <w:r w:rsidR="007A3711" w:rsidRPr="00D57A3A">
        <w:rPr>
          <w:rStyle w:val="Hyperlink"/>
          <w:i/>
          <w:iCs/>
          <w:color w:val="FF0000"/>
          <w:u w:val="none"/>
        </w:rPr>
        <w:t>See</w:t>
      </w:r>
      <w:r w:rsidR="0064506B">
        <w:rPr>
          <w:rStyle w:val="Hyperlink"/>
          <w:i/>
          <w:iCs/>
          <w:color w:val="FF0000"/>
          <w:u w:val="none"/>
        </w:rPr>
        <w:t xml:space="preserve"> generally </w:t>
      </w:r>
      <w:hyperlink r:id="rId98" w:history="1">
        <w:r w:rsidR="0064506B" w:rsidRPr="00ED0900">
          <w:rPr>
            <w:rStyle w:val="Hyperlink"/>
          </w:rPr>
          <w:t xml:space="preserve">U.S. </w:t>
        </w:r>
        <w:proofErr w:type="spellStart"/>
        <w:r w:rsidR="0064506B" w:rsidRPr="00ED0900">
          <w:rPr>
            <w:rStyle w:val="Hyperlink"/>
          </w:rPr>
          <w:t>Dep’t</w:t>
        </w:r>
        <w:proofErr w:type="spellEnd"/>
        <w:r w:rsidR="0064506B" w:rsidRPr="00ED0900">
          <w:rPr>
            <w:rStyle w:val="Hyperlink"/>
          </w:rPr>
          <w:t xml:space="preserve"> of Justice, Title VI Legal Manual</w:t>
        </w:r>
      </w:hyperlink>
      <w:r w:rsidR="0064506B">
        <w:rPr>
          <w:rStyle w:val="Hyperlink"/>
          <w:color w:val="FF0000"/>
          <w:u w:val="none"/>
        </w:rPr>
        <w:t>,</w:t>
      </w:r>
      <w:r w:rsidR="007A3711" w:rsidRPr="00D57A3A">
        <w:rPr>
          <w:rStyle w:val="Hyperlink"/>
          <w:color w:val="FF0000"/>
          <w:u w:val="none"/>
        </w:rPr>
        <w:t xml:space="preserve"> </w:t>
      </w:r>
      <w:r w:rsidR="00F81F43">
        <w:rPr>
          <w:rStyle w:val="Hyperlink"/>
          <w:color w:val="FF0000"/>
          <w:u w:val="none"/>
        </w:rPr>
        <w:t xml:space="preserve">§ </w:t>
      </w:r>
      <w:r w:rsidR="009444C0">
        <w:rPr>
          <w:rStyle w:val="Hyperlink"/>
          <w:color w:val="FF0000"/>
          <w:u w:val="none"/>
        </w:rPr>
        <w:t>V.</w:t>
      </w:r>
      <w:r w:rsidR="00F81F43">
        <w:rPr>
          <w:rStyle w:val="Hyperlink"/>
          <w:color w:val="FF0000"/>
          <w:u w:val="none"/>
        </w:rPr>
        <w:t xml:space="preserve">5 (noting </w:t>
      </w:r>
      <w:r w:rsidR="009444C0">
        <w:rPr>
          <w:rStyle w:val="Hyperlink"/>
          <w:color w:val="FF0000"/>
          <w:u w:val="none"/>
        </w:rPr>
        <w:t>the</w:t>
      </w:r>
      <w:r w:rsidR="00BE6248">
        <w:rPr>
          <w:rStyle w:val="Hyperlink"/>
          <w:color w:val="FF0000"/>
          <w:u w:val="none"/>
        </w:rPr>
        <w:t xml:space="preserve"> holding of the U.S. Court of Appeals for the</w:t>
      </w:r>
      <w:r w:rsidR="009444C0">
        <w:rPr>
          <w:rStyle w:val="Hyperlink"/>
          <w:color w:val="FF0000"/>
          <w:u w:val="none"/>
        </w:rPr>
        <w:t xml:space="preserve"> Fifth Circuit</w:t>
      </w:r>
      <w:r w:rsidR="00BE6248">
        <w:rPr>
          <w:rStyle w:val="Hyperlink"/>
          <w:color w:val="FF0000"/>
          <w:u w:val="none"/>
        </w:rPr>
        <w:t xml:space="preserve"> </w:t>
      </w:r>
      <w:r w:rsidR="009444C0">
        <w:rPr>
          <w:rStyle w:val="Hyperlink"/>
          <w:color w:val="FF0000"/>
          <w:u w:val="none"/>
        </w:rPr>
        <w:t xml:space="preserve">in </w:t>
      </w:r>
      <w:r w:rsidR="009444C0" w:rsidRPr="00D57A3A">
        <w:rPr>
          <w:rStyle w:val="Hyperlink"/>
          <w:i/>
          <w:iCs/>
          <w:color w:val="FF0000"/>
          <w:u w:val="none"/>
        </w:rPr>
        <w:t xml:space="preserve">Frazier v. </w:t>
      </w:r>
      <w:r w:rsidR="009444C0">
        <w:rPr>
          <w:rStyle w:val="Hyperlink"/>
          <w:i/>
          <w:iCs/>
          <w:color w:val="FF0000"/>
          <w:u w:val="none"/>
        </w:rPr>
        <w:t>Bd. of Trustees</w:t>
      </w:r>
      <w:r w:rsidR="009444C0">
        <w:rPr>
          <w:rStyle w:val="Hyperlink"/>
          <w:color w:val="FF0000"/>
          <w:u w:val="none"/>
        </w:rPr>
        <w:t>, 765 F.2d 1278</w:t>
      </w:r>
      <w:r w:rsidR="002F462B">
        <w:rPr>
          <w:rStyle w:val="Hyperlink"/>
          <w:color w:val="FF0000"/>
          <w:u w:val="none"/>
        </w:rPr>
        <w:t xml:space="preserve"> (</w:t>
      </w:r>
      <w:r w:rsidR="00515649">
        <w:rPr>
          <w:rStyle w:val="Hyperlink"/>
          <w:color w:val="FF0000"/>
          <w:u w:val="none"/>
        </w:rPr>
        <w:t xml:space="preserve">5th Cir. </w:t>
      </w:r>
      <w:r w:rsidR="002F462B">
        <w:rPr>
          <w:rStyle w:val="Hyperlink"/>
          <w:color w:val="FF0000"/>
          <w:u w:val="none"/>
        </w:rPr>
        <w:t>1985)</w:t>
      </w:r>
      <w:r w:rsidR="009444C0">
        <w:rPr>
          <w:rStyle w:val="Hyperlink"/>
          <w:color w:val="FF0000"/>
          <w:u w:val="none"/>
        </w:rPr>
        <w:t xml:space="preserve"> that </w:t>
      </w:r>
      <w:r w:rsidR="00F81F43">
        <w:rPr>
          <w:rStyle w:val="Hyperlink"/>
          <w:color w:val="FF0000"/>
          <w:u w:val="none"/>
        </w:rPr>
        <w:t>Title VI may cover a</w:t>
      </w:r>
      <w:r w:rsidR="00515649">
        <w:rPr>
          <w:rStyle w:val="Hyperlink"/>
          <w:color w:val="FF0000"/>
          <w:u w:val="none"/>
        </w:rPr>
        <w:t xml:space="preserve"> grantee’s</w:t>
      </w:r>
      <w:r w:rsidR="00F81F43">
        <w:rPr>
          <w:rStyle w:val="Hyperlink"/>
          <w:color w:val="FF0000"/>
          <w:u w:val="none"/>
        </w:rPr>
        <w:t xml:space="preserve"> contractor that performs an ‘essential function’ for the recipient, making the contractor itself a recipient)</w:t>
      </w:r>
      <w:r w:rsidR="009444C0">
        <w:rPr>
          <w:rStyle w:val="Hyperlink"/>
          <w:color w:val="FF0000"/>
          <w:u w:val="none"/>
        </w:rPr>
        <w:t>.</w:t>
      </w:r>
    </w:p>
    <w:p w14:paraId="0BDFEB26" w14:textId="0192C86C" w:rsidR="00CE61D6" w:rsidRPr="00D57A3A" w:rsidRDefault="00CE61D6" w:rsidP="0087745C">
      <w:pPr>
        <w:pStyle w:val="FootnoteText"/>
        <w:jc w:val="both"/>
        <w:rPr>
          <w:color w:val="FF0000"/>
        </w:rPr>
      </w:pPr>
    </w:p>
  </w:footnote>
  <w:footnote w:id="46">
    <w:p w14:paraId="5F1A1DF5" w14:textId="23079696" w:rsidR="00391BA5" w:rsidRPr="00D57A3A" w:rsidRDefault="00391BA5" w:rsidP="0087745C">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00F3795F" w:rsidRPr="00D57A3A">
        <w:rPr>
          <w:rStyle w:val="Hyperlink"/>
          <w:color w:val="FF0000"/>
          <w:u w:val="none"/>
        </w:rPr>
        <w:t xml:space="preserve">Treasury’s regulations implementing Title VI of the Civil Rights Act of 1964 require the Department to </w:t>
      </w:r>
      <w:r w:rsidR="00F3795F" w:rsidRPr="00D57A3A">
        <w:rPr>
          <w:color w:val="FF0000"/>
        </w:rPr>
        <w:t xml:space="preserve">“specify the extent to which . . . assurances will be required of [a] . . . recipient’s subgrantees, contractors, subcontractors, transferees, or successors in interest”—and Section 5 of the Assurances requires that recipients include the clause in </w:t>
      </w:r>
      <w:r w:rsidR="00F3795F" w:rsidRPr="00515649">
        <w:rPr>
          <w:color w:val="FF0000"/>
          <w:u w:val="single"/>
        </w:rPr>
        <w:t>Section XVI(a)</w:t>
      </w:r>
      <w:r w:rsidR="00F3795F" w:rsidRPr="00D57A3A">
        <w:rPr>
          <w:color w:val="FF0000"/>
        </w:rPr>
        <w:t xml:space="preserve"> in any “contract or agreement subject to Title VI and its regulations”.  </w:t>
      </w:r>
      <w:r w:rsidR="00DF2F0E" w:rsidRPr="00D57A3A">
        <w:rPr>
          <w:color w:val="FF0000"/>
        </w:rPr>
        <w:t xml:space="preserve">Section 5 of the Assurances requires that the recipient include </w:t>
      </w:r>
      <w:r w:rsidR="00624538" w:rsidRPr="00D57A3A">
        <w:rPr>
          <w:color w:val="FF0000"/>
        </w:rPr>
        <w:t xml:space="preserve">this clause in “every contract or agreement subject to Title VI and its regulations”.  </w:t>
      </w:r>
      <w:r w:rsidR="00F15ADB" w:rsidRPr="00D57A3A">
        <w:rPr>
          <w:color w:val="FF0000"/>
        </w:rPr>
        <w:t xml:space="preserve">For more information regarding the application of Title VI, see Note </w:t>
      </w:r>
      <w:r w:rsidR="00BE6248">
        <w:rPr>
          <w:color w:val="FF0000"/>
          <w:highlight w:val="yellow"/>
        </w:rPr>
        <w:fldChar w:fldCharType="begin"/>
      </w:r>
      <w:r w:rsidR="00BE6248">
        <w:rPr>
          <w:color w:val="FF0000"/>
        </w:rPr>
        <w:instrText xml:space="preserve"> NOTEREF _Ref98243575 \h </w:instrText>
      </w:r>
      <w:r w:rsidR="00BE6248">
        <w:rPr>
          <w:color w:val="FF0000"/>
          <w:highlight w:val="yellow"/>
        </w:rPr>
      </w:r>
      <w:r w:rsidR="00BE6248">
        <w:rPr>
          <w:color w:val="FF0000"/>
          <w:highlight w:val="yellow"/>
        </w:rPr>
        <w:fldChar w:fldCharType="separate"/>
      </w:r>
      <w:r w:rsidR="00BE6248">
        <w:rPr>
          <w:color w:val="FF0000"/>
        </w:rPr>
        <w:t>25</w:t>
      </w:r>
      <w:r w:rsidR="00BE6248">
        <w:rPr>
          <w:color w:val="FF0000"/>
          <w:highlight w:val="yellow"/>
        </w:rPr>
        <w:fldChar w:fldCharType="end"/>
      </w:r>
      <w:r w:rsidR="00AD1C66" w:rsidRPr="00D57A3A">
        <w:rPr>
          <w:color w:val="FF0000"/>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BDD4" w14:textId="319D4DB5" w:rsidR="00C95EF7" w:rsidRPr="00A26BDF" w:rsidRDefault="000F2C9C" w:rsidP="00C95EF7">
    <w:pPr>
      <w:pStyle w:val="Header"/>
      <w:jc w:val="right"/>
      <w:rPr>
        <w:b/>
        <w:bCs/>
        <w:color w:val="FF0000"/>
      </w:rPr>
    </w:pPr>
    <w:r w:rsidRPr="00A26BDF">
      <w:rPr>
        <w:b/>
        <w:bCs/>
        <w:color w:val="FF0000"/>
      </w:rPr>
      <w:t>Connor Crews</w:t>
    </w:r>
    <w:r w:rsidR="001251ED" w:rsidRPr="00A26BDF">
      <w:rPr>
        <w:b/>
        <w:bCs/>
        <w:color w:val="FF0000"/>
      </w:rPr>
      <w:t xml:space="preserve"> DRAFT</w:t>
    </w:r>
  </w:p>
  <w:p w14:paraId="33A92CBA" w14:textId="5C0D2999" w:rsidR="000F2C9C" w:rsidRPr="00A26BDF" w:rsidRDefault="000F2C9C" w:rsidP="00C95EF7">
    <w:pPr>
      <w:pStyle w:val="Header"/>
      <w:jc w:val="right"/>
      <w:rPr>
        <w:b/>
        <w:bCs/>
        <w:color w:val="FF0000"/>
      </w:rPr>
    </w:pPr>
    <w:r w:rsidRPr="00A26BDF">
      <w:rPr>
        <w:b/>
        <w:bCs/>
        <w:color w:val="FF0000"/>
      </w:rPr>
      <w:t xml:space="preserve">UNC School of Government </w:t>
    </w:r>
  </w:p>
  <w:p w14:paraId="0001B318" w14:textId="5E8ECAB6" w:rsidR="000F2C9C" w:rsidRPr="00A26BDF" w:rsidRDefault="001D1F04" w:rsidP="00C95EF7">
    <w:pPr>
      <w:pStyle w:val="Header"/>
      <w:jc w:val="right"/>
      <w:rPr>
        <w:b/>
        <w:bCs/>
        <w:color w:val="FF0000"/>
      </w:rPr>
    </w:pPr>
    <w:r>
      <w:rPr>
        <w:b/>
        <w:bCs/>
        <w:color w:val="FF0000"/>
      </w:rPr>
      <w:t>March 15</w:t>
    </w:r>
    <w:r w:rsidR="000F2C9C" w:rsidRPr="00A26BDF">
      <w:rPr>
        <w:b/>
        <w:bCs/>
        <w:color w:val="FF0000"/>
      </w:rPr>
      <w:t>, 2022</w:t>
    </w:r>
  </w:p>
  <w:p w14:paraId="690F524E" w14:textId="77777777" w:rsidR="000F2C9C" w:rsidRPr="005C1BCD" w:rsidRDefault="000F2C9C" w:rsidP="00C95EF7">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746" w14:textId="77777777" w:rsidR="00705387" w:rsidRPr="005C1BCD" w:rsidRDefault="00705387" w:rsidP="00C95EF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4E8"/>
    <w:multiLevelType w:val="hybridMultilevel"/>
    <w:tmpl w:val="848678BA"/>
    <w:lvl w:ilvl="0" w:tplc="8FD08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604F4"/>
    <w:multiLevelType w:val="hybridMultilevel"/>
    <w:tmpl w:val="8BC68FF2"/>
    <w:lvl w:ilvl="0" w:tplc="A3E2C33C">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62488"/>
    <w:multiLevelType w:val="hybridMultilevel"/>
    <w:tmpl w:val="6594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867AE"/>
    <w:multiLevelType w:val="hybridMultilevel"/>
    <w:tmpl w:val="91F6F4DA"/>
    <w:lvl w:ilvl="0" w:tplc="6D9200BE">
      <w:start w:val="1"/>
      <w:numFmt w:val="upperRoman"/>
      <w:lvlText w:val="%1."/>
      <w:lvlJc w:val="right"/>
      <w:pPr>
        <w:ind w:left="360" w:hanging="360"/>
      </w:pPr>
      <w:rPr>
        <w:b/>
        <w:bCs/>
        <w:i w:val="0"/>
        <w:iCs w:val="0"/>
      </w:rPr>
    </w:lvl>
    <w:lvl w:ilvl="1" w:tplc="8EDAB100">
      <w:start w:val="1"/>
      <w:numFmt w:val="lowerLetter"/>
      <w:lvlText w:val="%2)"/>
      <w:lvlJc w:val="left"/>
      <w:pPr>
        <w:ind w:left="1260" w:hanging="360"/>
      </w:pPr>
      <w:rPr>
        <w:b w:val="0"/>
        <w:bCs w:val="0"/>
        <w:i w:val="0"/>
        <w:iCs w:val="0"/>
      </w:rPr>
    </w:lvl>
    <w:lvl w:ilvl="2" w:tplc="EA64C756">
      <w:start w:val="1"/>
      <w:numFmt w:val="lowerRoman"/>
      <w:lvlText w:val="%3."/>
      <w:lvlJc w:val="right"/>
      <w:pPr>
        <w:ind w:left="1800" w:hanging="180"/>
      </w:pPr>
      <w:rPr>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44189D"/>
    <w:multiLevelType w:val="hybridMultilevel"/>
    <w:tmpl w:val="78CC92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F7"/>
    <w:rsid w:val="000009C3"/>
    <w:rsid w:val="0000145E"/>
    <w:rsid w:val="00002202"/>
    <w:rsid w:val="0000334B"/>
    <w:rsid w:val="00003B42"/>
    <w:rsid w:val="0000497A"/>
    <w:rsid w:val="000069B5"/>
    <w:rsid w:val="00006A46"/>
    <w:rsid w:val="00007EC0"/>
    <w:rsid w:val="00010CE3"/>
    <w:rsid w:val="00011079"/>
    <w:rsid w:val="000118B2"/>
    <w:rsid w:val="00011B43"/>
    <w:rsid w:val="00012442"/>
    <w:rsid w:val="00012B92"/>
    <w:rsid w:val="00012D55"/>
    <w:rsid w:val="00013F13"/>
    <w:rsid w:val="0001470D"/>
    <w:rsid w:val="00017357"/>
    <w:rsid w:val="000173BA"/>
    <w:rsid w:val="00017994"/>
    <w:rsid w:val="00023C28"/>
    <w:rsid w:val="00023F75"/>
    <w:rsid w:val="0002427E"/>
    <w:rsid w:val="00024F18"/>
    <w:rsid w:val="0002552E"/>
    <w:rsid w:val="000271C7"/>
    <w:rsid w:val="0002757D"/>
    <w:rsid w:val="00030C52"/>
    <w:rsid w:val="000326BA"/>
    <w:rsid w:val="00032854"/>
    <w:rsid w:val="00034124"/>
    <w:rsid w:val="000354BE"/>
    <w:rsid w:val="000358A1"/>
    <w:rsid w:val="00035F25"/>
    <w:rsid w:val="000363CA"/>
    <w:rsid w:val="00036746"/>
    <w:rsid w:val="0003760B"/>
    <w:rsid w:val="00037B9B"/>
    <w:rsid w:val="00040E9D"/>
    <w:rsid w:val="000417F1"/>
    <w:rsid w:val="00042F50"/>
    <w:rsid w:val="00043868"/>
    <w:rsid w:val="000472F4"/>
    <w:rsid w:val="00050CB9"/>
    <w:rsid w:val="00051A84"/>
    <w:rsid w:val="00052EA2"/>
    <w:rsid w:val="00054103"/>
    <w:rsid w:val="000567D7"/>
    <w:rsid w:val="00060AF0"/>
    <w:rsid w:val="0006124A"/>
    <w:rsid w:val="00062D54"/>
    <w:rsid w:val="00062E7B"/>
    <w:rsid w:val="00065157"/>
    <w:rsid w:val="00066897"/>
    <w:rsid w:val="00067729"/>
    <w:rsid w:val="00067A7E"/>
    <w:rsid w:val="00072180"/>
    <w:rsid w:val="00072F85"/>
    <w:rsid w:val="000751A9"/>
    <w:rsid w:val="000753EE"/>
    <w:rsid w:val="00076705"/>
    <w:rsid w:val="00076843"/>
    <w:rsid w:val="00077714"/>
    <w:rsid w:val="000809B2"/>
    <w:rsid w:val="0008192A"/>
    <w:rsid w:val="0008198A"/>
    <w:rsid w:val="000829DB"/>
    <w:rsid w:val="00084A4A"/>
    <w:rsid w:val="00085437"/>
    <w:rsid w:val="0008631F"/>
    <w:rsid w:val="000863B4"/>
    <w:rsid w:val="00086E81"/>
    <w:rsid w:val="000872EE"/>
    <w:rsid w:val="000905CA"/>
    <w:rsid w:val="00090C18"/>
    <w:rsid w:val="00091D12"/>
    <w:rsid w:val="000930AD"/>
    <w:rsid w:val="00094519"/>
    <w:rsid w:val="0009663A"/>
    <w:rsid w:val="000A169E"/>
    <w:rsid w:val="000A189A"/>
    <w:rsid w:val="000A1A37"/>
    <w:rsid w:val="000A2204"/>
    <w:rsid w:val="000A390C"/>
    <w:rsid w:val="000A42B5"/>
    <w:rsid w:val="000A46F6"/>
    <w:rsid w:val="000B02E7"/>
    <w:rsid w:val="000B04AE"/>
    <w:rsid w:val="000B0CFD"/>
    <w:rsid w:val="000B2849"/>
    <w:rsid w:val="000B30BF"/>
    <w:rsid w:val="000B3EB1"/>
    <w:rsid w:val="000B4469"/>
    <w:rsid w:val="000B4F1B"/>
    <w:rsid w:val="000B51FE"/>
    <w:rsid w:val="000B5A3D"/>
    <w:rsid w:val="000B79D5"/>
    <w:rsid w:val="000B7BEC"/>
    <w:rsid w:val="000C02C0"/>
    <w:rsid w:val="000C0828"/>
    <w:rsid w:val="000C0A90"/>
    <w:rsid w:val="000C210C"/>
    <w:rsid w:val="000C39F7"/>
    <w:rsid w:val="000C4E7F"/>
    <w:rsid w:val="000C5F8B"/>
    <w:rsid w:val="000C6691"/>
    <w:rsid w:val="000C66ED"/>
    <w:rsid w:val="000D10DC"/>
    <w:rsid w:val="000D20DF"/>
    <w:rsid w:val="000D2458"/>
    <w:rsid w:val="000D34BB"/>
    <w:rsid w:val="000D5001"/>
    <w:rsid w:val="000D7936"/>
    <w:rsid w:val="000E0012"/>
    <w:rsid w:val="000E1DFE"/>
    <w:rsid w:val="000E34A0"/>
    <w:rsid w:val="000E4C29"/>
    <w:rsid w:val="000E6761"/>
    <w:rsid w:val="000E6E77"/>
    <w:rsid w:val="000E7F69"/>
    <w:rsid w:val="000F2C9C"/>
    <w:rsid w:val="000F65EB"/>
    <w:rsid w:val="000F7431"/>
    <w:rsid w:val="00102ABC"/>
    <w:rsid w:val="001038A9"/>
    <w:rsid w:val="00103958"/>
    <w:rsid w:val="001047E0"/>
    <w:rsid w:val="00104CA0"/>
    <w:rsid w:val="00105F3B"/>
    <w:rsid w:val="00110441"/>
    <w:rsid w:val="00111195"/>
    <w:rsid w:val="001125DD"/>
    <w:rsid w:val="00115256"/>
    <w:rsid w:val="001152DF"/>
    <w:rsid w:val="00115ACE"/>
    <w:rsid w:val="001217F0"/>
    <w:rsid w:val="00122503"/>
    <w:rsid w:val="0012310F"/>
    <w:rsid w:val="00123D7B"/>
    <w:rsid w:val="001251ED"/>
    <w:rsid w:val="00126DB5"/>
    <w:rsid w:val="001274D2"/>
    <w:rsid w:val="00130B7E"/>
    <w:rsid w:val="001336A5"/>
    <w:rsid w:val="0013406E"/>
    <w:rsid w:val="0013440F"/>
    <w:rsid w:val="00134D7D"/>
    <w:rsid w:val="00135584"/>
    <w:rsid w:val="00136822"/>
    <w:rsid w:val="00136BD2"/>
    <w:rsid w:val="00140472"/>
    <w:rsid w:val="001411EF"/>
    <w:rsid w:val="001413C8"/>
    <w:rsid w:val="00144242"/>
    <w:rsid w:val="00145FB2"/>
    <w:rsid w:val="00146B37"/>
    <w:rsid w:val="0015108D"/>
    <w:rsid w:val="001522F0"/>
    <w:rsid w:val="0015241F"/>
    <w:rsid w:val="00152852"/>
    <w:rsid w:val="001536E3"/>
    <w:rsid w:val="00156CEB"/>
    <w:rsid w:val="00160B75"/>
    <w:rsid w:val="001614E7"/>
    <w:rsid w:val="0016295C"/>
    <w:rsid w:val="00162B7F"/>
    <w:rsid w:val="0016550C"/>
    <w:rsid w:val="001658E4"/>
    <w:rsid w:val="001706E1"/>
    <w:rsid w:val="00171100"/>
    <w:rsid w:val="00171209"/>
    <w:rsid w:val="00171593"/>
    <w:rsid w:val="001715AF"/>
    <w:rsid w:val="00171B14"/>
    <w:rsid w:val="0017369D"/>
    <w:rsid w:val="0017465A"/>
    <w:rsid w:val="00174E19"/>
    <w:rsid w:val="00175E39"/>
    <w:rsid w:val="00181BE6"/>
    <w:rsid w:val="00183C3E"/>
    <w:rsid w:val="00183F09"/>
    <w:rsid w:val="00185C93"/>
    <w:rsid w:val="00186410"/>
    <w:rsid w:val="0018667B"/>
    <w:rsid w:val="001921F0"/>
    <w:rsid w:val="001926E8"/>
    <w:rsid w:val="001939FA"/>
    <w:rsid w:val="00193B7A"/>
    <w:rsid w:val="00193BAC"/>
    <w:rsid w:val="00194396"/>
    <w:rsid w:val="00194564"/>
    <w:rsid w:val="0019489F"/>
    <w:rsid w:val="00194C51"/>
    <w:rsid w:val="001951BE"/>
    <w:rsid w:val="0019614C"/>
    <w:rsid w:val="001972FB"/>
    <w:rsid w:val="001A0C70"/>
    <w:rsid w:val="001A2710"/>
    <w:rsid w:val="001A33C5"/>
    <w:rsid w:val="001A41A0"/>
    <w:rsid w:val="001A49E0"/>
    <w:rsid w:val="001A73A8"/>
    <w:rsid w:val="001A74D2"/>
    <w:rsid w:val="001B0592"/>
    <w:rsid w:val="001B05AE"/>
    <w:rsid w:val="001B168B"/>
    <w:rsid w:val="001B19D4"/>
    <w:rsid w:val="001B2257"/>
    <w:rsid w:val="001B3AB9"/>
    <w:rsid w:val="001B5C36"/>
    <w:rsid w:val="001C0A24"/>
    <w:rsid w:val="001C12EC"/>
    <w:rsid w:val="001C161F"/>
    <w:rsid w:val="001C251C"/>
    <w:rsid w:val="001C3728"/>
    <w:rsid w:val="001C6CE3"/>
    <w:rsid w:val="001C6CFB"/>
    <w:rsid w:val="001D0B08"/>
    <w:rsid w:val="001D1F04"/>
    <w:rsid w:val="001D31A5"/>
    <w:rsid w:val="001D506D"/>
    <w:rsid w:val="001D523C"/>
    <w:rsid w:val="001D5FEE"/>
    <w:rsid w:val="001E06EE"/>
    <w:rsid w:val="001E4DDC"/>
    <w:rsid w:val="001E517E"/>
    <w:rsid w:val="001E5841"/>
    <w:rsid w:val="001E733D"/>
    <w:rsid w:val="001E7A62"/>
    <w:rsid w:val="001E7D87"/>
    <w:rsid w:val="001F0F2F"/>
    <w:rsid w:val="001F2136"/>
    <w:rsid w:val="001F2341"/>
    <w:rsid w:val="001F31CF"/>
    <w:rsid w:val="001F389B"/>
    <w:rsid w:val="001F4762"/>
    <w:rsid w:val="001F4FAF"/>
    <w:rsid w:val="001F551E"/>
    <w:rsid w:val="001F684B"/>
    <w:rsid w:val="001F6E4A"/>
    <w:rsid w:val="00200A3F"/>
    <w:rsid w:val="00200E2B"/>
    <w:rsid w:val="00200ED5"/>
    <w:rsid w:val="00204434"/>
    <w:rsid w:val="0020517B"/>
    <w:rsid w:val="00215C2B"/>
    <w:rsid w:val="002164BC"/>
    <w:rsid w:val="002169A7"/>
    <w:rsid w:val="00217128"/>
    <w:rsid w:val="00221403"/>
    <w:rsid w:val="00222DE0"/>
    <w:rsid w:val="002253FE"/>
    <w:rsid w:val="00225B09"/>
    <w:rsid w:val="0022613D"/>
    <w:rsid w:val="00230E3E"/>
    <w:rsid w:val="00232D73"/>
    <w:rsid w:val="0023597D"/>
    <w:rsid w:val="00237913"/>
    <w:rsid w:val="00237CF2"/>
    <w:rsid w:val="00240A6A"/>
    <w:rsid w:val="00240E00"/>
    <w:rsid w:val="002426D0"/>
    <w:rsid w:val="00243AD0"/>
    <w:rsid w:val="0024433B"/>
    <w:rsid w:val="0024553A"/>
    <w:rsid w:val="00245576"/>
    <w:rsid w:val="00245C60"/>
    <w:rsid w:val="00246593"/>
    <w:rsid w:val="00246701"/>
    <w:rsid w:val="00250E79"/>
    <w:rsid w:val="00252B73"/>
    <w:rsid w:val="00253335"/>
    <w:rsid w:val="00255281"/>
    <w:rsid w:val="002574EF"/>
    <w:rsid w:val="00257A6D"/>
    <w:rsid w:val="00257AF1"/>
    <w:rsid w:val="002602D8"/>
    <w:rsid w:val="002607F0"/>
    <w:rsid w:val="00263068"/>
    <w:rsid w:val="00263AF7"/>
    <w:rsid w:val="00264510"/>
    <w:rsid w:val="00265502"/>
    <w:rsid w:val="00265DAF"/>
    <w:rsid w:val="0026622E"/>
    <w:rsid w:val="002672E0"/>
    <w:rsid w:val="00267DFC"/>
    <w:rsid w:val="002704C1"/>
    <w:rsid w:val="002735AC"/>
    <w:rsid w:val="002736CF"/>
    <w:rsid w:val="0027390A"/>
    <w:rsid w:val="002745E3"/>
    <w:rsid w:val="002749D0"/>
    <w:rsid w:val="002766B0"/>
    <w:rsid w:val="00276EB2"/>
    <w:rsid w:val="00280FC4"/>
    <w:rsid w:val="00281DC0"/>
    <w:rsid w:val="00281E21"/>
    <w:rsid w:val="002823F9"/>
    <w:rsid w:val="00285870"/>
    <w:rsid w:val="00287254"/>
    <w:rsid w:val="002876AC"/>
    <w:rsid w:val="002878CB"/>
    <w:rsid w:val="00287B63"/>
    <w:rsid w:val="00287E5D"/>
    <w:rsid w:val="002903A5"/>
    <w:rsid w:val="0029378C"/>
    <w:rsid w:val="00295104"/>
    <w:rsid w:val="002977E3"/>
    <w:rsid w:val="002A062A"/>
    <w:rsid w:val="002A16C2"/>
    <w:rsid w:val="002A171B"/>
    <w:rsid w:val="002A1F7B"/>
    <w:rsid w:val="002A246E"/>
    <w:rsid w:val="002A2EF6"/>
    <w:rsid w:val="002A3536"/>
    <w:rsid w:val="002A6113"/>
    <w:rsid w:val="002B0C05"/>
    <w:rsid w:val="002B0FD3"/>
    <w:rsid w:val="002B1814"/>
    <w:rsid w:val="002B23AE"/>
    <w:rsid w:val="002B3122"/>
    <w:rsid w:val="002B4432"/>
    <w:rsid w:val="002B45A4"/>
    <w:rsid w:val="002B4827"/>
    <w:rsid w:val="002B4B43"/>
    <w:rsid w:val="002B5ECD"/>
    <w:rsid w:val="002B6FFA"/>
    <w:rsid w:val="002B7007"/>
    <w:rsid w:val="002C025B"/>
    <w:rsid w:val="002C2116"/>
    <w:rsid w:val="002C3004"/>
    <w:rsid w:val="002C539E"/>
    <w:rsid w:val="002D1BE7"/>
    <w:rsid w:val="002D1BFE"/>
    <w:rsid w:val="002D286C"/>
    <w:rsid w:val="002D3BF5"/>
    <w:rsid w:val="002D4D3E"/>
    <w:rsid w:val="002D558F"/>
    <w:rsid w:val="002E041A"/>
    <w:rsid w:val="002E0D85"/>
    <w:rsid w:val="002E1412"/>
    <w:rsid w:val="002E2265"/>
    <w:rsid w:val="002E2934"/>
    <w:rsid w:val="002E55DF"/>
    <w:rsid w:val="002E5AC3"/>
    <w:rsid w:val="002E5AC4"/>
    <w:rsid w:val="002E62C6"/>
    <w:rsid w:val="002E6978"/>
    <w:rsid w:val="002E6AF1"/>
    <w:rsid w:val="002E7179"/>
    <w:rsid w:val="002F0E07"/>
    <w:rsid w:val="002F2A09"/>
    <w:rsid w:val="002F3E47"/>
    <w:rsid w:val="002F4310"/>
    <w:rsid w:val="002F4411"/>
    <w:rsid w:val="002F462B"/>
    <w:rsid w:val="002F55FD"/>
    <w:rsid w:val="002F5742"/>
    <w:rsid w:val="002F6620"/>
    <w:rsid w:val="002F6B80"/>
    <w:rsid w:val="0030101C"/>
    <w:rsid w:val="00301746"/>
    <w:rsid w:val="0030189C"/>
    <w:rsid w:val="00302708"/>
    <w:rsid w:val="00302C0C"/>
    <w:rsid w:val="00302C32"/>
    <w:rsid w:val="00302D31"/>
    <w:rsid w:val="003032C5"/>
    <w:rsid w:val="00303CB1"/>
    <w:rsid w:val="00306A69"/>
    <w:rsid w:val="00307526"/>
    <w:rsid w:val="00312773"/>
    <w:rsid w:val="0031338B"/>
    <w:rsid w:val="00317435"/>
    <w:rsid w:val="0032060F"/>
    <w:rsid w:val="0032134E"/>
    <w:rsid w:val="00323CDA"/>
    <w:rsid w:val="003251ED"/>
    <w:rsid w:val="00326AA1"/>
    <w:rsid w:val="003270B4"/>
    <w:rsid w:val="00327965"/>
    <w:rsid w:val="0033006D"/>
    <w:rsid w:val="003322D6"/>
    <w:rsid w:val="00335C10"/>
    <w:rsid w:val="00335E73"/>
    <w:rsid w:val="00341919"/>
    <w:rsid w:val="00341B7F"/>
    <w:rsid w:val="00342842"/>
    <w:rsid w:val="003429FF"/>
    <w:rsid w:val="00342DA4"/>
    <w:rsid w:val="003432F9"/>
    <w:rsid w:val="003439D5"/>
    <w:rsid w:val="00344788"/>
    <w:rsid w:val="0034524D"/>
    <w:rsid w:val="00350A02"/>
    <w:rsid w:val="00351F7A"/>
    <w:rsid w:val="00352A9B"/>
    <w:rsid w:val="0035455F"/>
    <w:rsid w:val="00356720"/>
    <w:rsid w:val="0035678D"/>
    <w:rsid w:val="00362066"/>
    <w:rsid w:val="00362FF1"/>
    <w:rsid w:val="00364984"/>
    <w:rsid w:val="003657F0"/>
    <w:rsid w:val="003673F7"/>
    <w:rsid w:val="003674B8"/>
    <w:rsid w:val="00367893"/>
    <w:rsid w:val="00370C1D"/>
    <w:rsid w:val="00371B04"/>
    <w:rsid w:val="00372301"/>
    <w:rsid w:val="00376EA2"/>
    <w:rsid w:val="00380F3C"/>
    <w:rsid w:val="00381625"/>
    <w:rsid w:val="00381940"/>
    <w:rsid w:val="003831E4"/>
    <w:rsid w:val="00383431"/>
    <w:rsid w:val="00383F8D"/>
    <w:rsid w:val="003846C6"/>
    <w:rsid w:val="003849F0"/>
    <w:rsid w:val="00385A3C"/>
    <w:rsid w:val="00386FFD"/>
    <w:rsid w:val="00391BA5"/>
    <w:rsid w:val="00391BDD"/>
    <w:rsid w:val="003920BF"/>
    <w:rsid w:val="003924CC"/>
    <w:rsid w:val="00392F46"/>
    <w:rsid w:val="003936F6"/>
    <w:rsid w:val="00393908"/>
    <w:rsid w:val="00394E9A"/>
    <w:rsid w:val="0039578A"/>
    <w:rsid w:val="00397798"/>
    <w:rsid w:val="00397F70"/>
    <w:rsid w:val="003A1E13"/>
    <w:rsid w:val="003A411B"/>
    <w:rsid w:val="003A419E"/>
    <w:rsid w:val="003A4D77"/>
    <w:rsid w:val="003A4EC3"/>
    <w:rsid w:val="003B0274"/>
    <w:rsid w:val="003B3990"/>
    <w:rsid w:val="003B3C7C"/>
    <w:rsid w:val="003B433A"/>
    <w:rsid w:val="003B43DF"/>
    <w:rsid w:val="003B4B7A"/>
    <w:rsid w:val="003B50B2"/>
    <w:rsid w:val="003B5360"/>
    <w:rsid w:val="003B6132"/>
    <w:rsid w:val="003B7D12"/>
    <w:rsid w:val="003C6CA4"/>
    <w:rsid w:val="003C7764"/>
    <w:rsid w:val="003D054A"/>
    <w:rsid w:val="003D11A1"/>
    <w:rsid w:val="003D22E9"/>
    <w:rsid w:val="003D368F"/>
    <w:rsid w:val="003D4EBB"/>
    <w:rsid w:val="003D5B29"/>
    <w:rsid w:val="003D6A83"/>
    <w:rsid w:val="003E01B5"/>
    <w:rsid w:val="003E129B"/>
    <w:rsid w:val="003E271C"/>
    <w:rsid w:val="003E2F83"/>
    <w:rsid w:val="003E3606"/>
    <w:rsid w:val="003E479D"/>
    <w:rsid w:val="003E4BC9"/>
    <w:rsid w:val="003E4F36"/>
    <w:rsid w:val="003E5215"/>
    <w:rsid w:val="003F0475"/>
    <w:rsid w:val="003F1B6F"/>
    <w:rsid w:val="003F22B2"/>
    <w:rsid w:val="003F3454"/>
    <w:rsid w:val="003F43B2"/>
    <w:rsid w:val="003F5CD6"/>
    <w:rsid w:val="00400547"/>
    <w:rsid w:val="00401812"/>
    <w:rsid w:val="00401897"/>
    <w:rsid w:val="00401D8F"/>
    <w:rsid w:val="00404D45"/>
    <w:rsid w:val="00405C2D"/>
    <w:rsid w:val="00405F45"/>
    <w:rsid w:val="00406F9A"/>
    <w:rsid w:val="00410834"/>
    <w:rsid w:val="004122FB"/>
    <w:rsid w:val="00412536"/>
    <w:rsid w:val="00413A51"/>
    <w:rsid w:val="00413D56"/>
    <w:rsid w:val="00415B17"/>
    <w:rsid w:val="004170C1"/>
    <w:rsid w:val="004172CB"/>
    <w:rsid w:val="004176DA"/>
    <w:rsid w:val="00420EC0"/>
    <w:rsid w:val="00421676"/>
    <w:rsid w:val="00421B3F"/>
    <w:rsid w:val="004221FA"/>
    <w:rsid w:val="0042239C"/>
    <w:rsid w:val="00423EEA"/>
    <w:rsid w:val="00424791"/>
    <w:rsid w:val="004262AF"/>
    <w:rsid w:val="00431C52"/>
    <w:rsid w:val="00432AD5"/>
    <w:rsid w:val="00432C64"/>
    <w:rsid w:val="00433146"/>
    <w:rsid w:val="0043368E"/>
    <w:rsid w:val="0043733E"/>
    <w:rsid w:val="004438F7"/>
    <w:rsid w:val="00444B85"/>
    <w:rsid w:val="00446918"/>
    <w:rsid w:val="004471A6"/>
    <w:rsid w:val="00451210"/>
    <w:rsid w:val="0045138B"/>
    <w:rsid w:val="00452AE4"/>
    <w:rsid w:val="00452C06"/>
    <w:rsid w:val="0045397B"/>
    <w:rsid w:val="00453E98"/>
    <w:rsid w:val="00455121"/>
    <w:rsid w:val="00455243"/>
    <w:rsid w:val="00455262"/>
    <w:rsid w:val="0045527D"/>
    <w:rsid w:val="00456245"/>
    <w:rsid w:val="00456FBC"/>
    <w:rsid w:val="004577CF"/>
    <w:rsid w:val="004611F0"/>
    <w:rsid w:val="00464008"/>
    <w:rsid w:val="00464A1D"/>
    <w:rsid w:val="00464D7C"/>
    <w:rsid w:val="004700A7"/>
    <w:rsid w:val="004715D1"/>
    <w:rsid w:val="00472D20"/>
    <w:rsid w:val="0047536A"/>
    <w:rsid w:val="004776AB"/>
    <w:rsid w:val="00482676"/>
    <w:rsid w:val="00482C28"/>
    <w:rsid w:val="0048411A"/>
    <w:rsid w:val="00485018"/>
    <w:rsid w:val="0048586D"/>
    <w:rsid w:val="00486A5A"/>
    <w:rsid w:val="00486BCA"/>
    <w:rsid w:val="00487AFA"/>
    <w:rsid w:val="00487BFC"/>
    <w:rsid w:val="0049077C"/>
    <w:rsid w:val="00492A9B"/>
    <w:rsid w:val="00493969"/>
    <w:rsid w:val="004949DD"/>
    <w:rsid w:val="0049536C"/>
    <w:rsid w:val="00495BF8"/>
    <w:rsid w:val="00495C03"/>
    <w:rsid w:val="00497028"/>
    <w:rsid w:val="00497243"/>
    <w:rsid w:val="00497373"/>
    <w:rsid w:val="004A2885"/>
    <w:rsid w:val="004A3476"/>
    <w:rsid w:val="004A41CF"/>
    <w:rsid w:val="004A60CA"/>
    <w:rsid w:val="004A781E"/>
    <w:rsid w:val="004B0DC6"/>
    <w:rsid w:val="004B17A5"/>
    <w:rsid w:val="004B17DF"/>
    <w:rsid w:val="004B188E"/>
    <w:rsid w:val="004B221C"/>
    <w:rsid w:val="004B2994"/>
    <w:rsid w:val="004B2B1E"/>
    <w:rsid w:val="004B2D0E"/>
    <w:rsid w:val="004B3196"/>
    <w:rsid w:val="004B4359"/>
    <w:rsid w:val="004B5875"/>
    <w:rsid w:val="004B718B"/>
    <w:rsid w:val="004B7893"/>
    <w:rsid w:val="004C1DEA"/>
    <w:rsid w:val="004C1F23"/>
    <w:rsid w:val="004C2FD6"/>
    <w:rsid w:val="004C3B50"/>
    <w:rsid w:val="004C460C"/>
    <w:rsid w:val="004C5309"/>
    <w:rsid w:val="004C5C95"/>
    <w:rsid w:val="004C6844"/>
    <w:rsid w:val="004D0C8E"/>
    <w:rsid w:val="004D15C8"/>
    <w:rsid w:val="004D192D"/>
    <w:rsid w:val="004D1D75"/>
    <w:rsid w:val="004D2D2C"/>
    <w:rsid w:val="004D2DA5"/>
    <w:rsid w:val="004D4EB0"/>
    <w:rsid w:val="004D6015"/>
    <w:rsid w:val="004D69BE"/>
    <w:rsid w:val="004D7288"/>
    <w:rsid w:val="004E1C95"/>
    <w:rsid w:val="004E37F2"/>
    <w:rsid w:val="004E4F2F"/>
    <w:rsid w:val="004E55A5"/>
    <w:rsid w:val="004E6936"/>
    <w:rsid w:val="004E75AF"/>
    <w:rsid w:val="004F0704"/>
    <w:rsid w:val="004F18DB"/>
    <w:rsid w:val="004F3BF5"/>
    <w:rsid w:val="004F460F"/>
    <w:rsid w:val="004F50D9"/>
    <w:rsid w:val="004F5B09"/>
    <w:rsid w:val="004F7D6A"/>
    <w:rsid w:val="004F7E87"/>
    <w:rsid w:val="00500F21"/>
    <w:rsid w:val="0050271C"/>
    <w:rsid w:val="005032C5"/>
    <w:rsid w:val="005035CC"/>
    <w:rsid w:val="005035FB"/>
    <w:rsid w:val="005041B7"/>
    <w:rsid w:val="00504DCB"/>
    <w:rsid w:val="00505005"/>
    <w:rsid w:val="00506357"/>
    <w:rsid w:val="00506D2B"/>
    <w:rsid w:val="00511CC9"/>
    <w:rsid w:val="00515649"/>
    <w:rsid w:val="0051693C"/>
    <w:rsid w:val="00516981"/>
    <w:rsid w:val="00521607"/>
    <w:rsid w:val="00522ED3"/>
    <w:rsid w:val="00523494"/>
    <w:rsid w:val="0052395E"/>
    <w:rsid w:val="005258EB"/>
    <w:rsid w:val="00525C2E"/>
    <w:rsid w:val="005271E1"/>
    <w:rsid w:val="00527B4D"/>
    <w:rsid w:val="00530695"/>
    <w:rsid w:val="00531334"/>
    <w:rsid w:val="005318C7"/>
    <w:rsid w:val="0053391B"/>
    <w:rsid w:val="005423D5"/>
    <w:rsid w:val="0054289C"/>
    <w:rsid w:val="00544BCC"/>
    <w:rsid w:val="00545093"/>
    <w:rsid w:val="00545D5F"/>
    <w:rsid w:val="005478FF"/>
    <w:rsid w:val="00550B1F"/>
    <w:rsid w:val="00551D78"/>
    <w:rsid w:val="005538E5"/>
    <w:rsid w:val="00555C51"/>
    <w:rsid w:val="00557710"/>
    <w:rsid w:val="00557816"/>
    <w:rsid w:val="005607A7"/>
    <w:rsid w:val="00561A0A"/>
    <w:rsid w:val="005633AA"/>
    <w:rsid w:val="0056345D"/>
    <w:rsid w:val="00563A2D"/>
    <w:rsid w:val="00564369"/>
    <w:rsid w:val="005649C5"/>
    <w:rsid w:val="005649F3"/>
    <w:rsid w:val="00564B4E"/>
    <w:rsid w:val="00565102"/>
    <w:rsid w:val="00566576"/>
    <w:rsid w:val="00566E68"/>
    <w:rsid w:val="00567675"/>
    <w:rsid w:val="00570F62"/>
    <w:rsid w:val="0057148D"/>
    <w:rsid w:val="00571D69"/>
    <w:rsid w:val="00573EA8"/>
    <w:rsid w:val="00575759"/>
    <w:rsid w:val="005759DF"/>
    <w:rsid w:val="00575EE1"/>
    <w:rsid w:val="005776DB"/>
    <w:rsid w:val="00577958"/>
    <w:rsid w:val="005801E3"/>
    <w:rsid w:val="00580D6A"/>
    <w:rsid w:val="005810FD"/>
    <w:rsid w:val="00584AB2"/>
    <w:rsid w:val="005901FB"/>
    <w:rsid w:val="0059182C"/>
    <w:rsid w:val="00592B87"/>
    <w:rsid w:val="00597A79"/>
    <w:rsid w:val="005A008B"/>
    <w:rsid w:val="005A1B01"/>
    <w:rsid w:val="005A289A"/>
    <w:rsid w:val="005A32AC"/>
    <w:rsid w:val="005A3955"/>
    <w:rsid w:val="005A4F70"/>
    <w:rsid w:val="005A5EC2"/>
    <w:rsid w:val="005A6B06"/>
    <w:rsid w:val="005B0729"/>
    <w:rsid w:val="005B1D2A"/>
    <w:rsid w:val="005B4C6E"/>
    <w:rsid w:val="005B5F4F"/>
    <w:rsid w:val="005B6D2D"/>
    <w:rsid w:val="005B7530"/>
    <w:rsid w:val="005C15A3"/>
    <w:rsid w:val="005C1BCD"/>
    <w:rsid w:val="005C2649"/>
    <w:rsid w:val="005C2FCA"/>
    <w:rsid w:val="005C4ECC"/>
    <w:rsid w:val="005C5697"/>
    <w:rsid w:val="005C65DC"/>
    <w:rsid w:val="005C6D78"/>
    <w:rsid w:val="005C7259"/>
    <w:rsid w:val="005C73AB"/>
    <w:rsid w:val="005C7C2B"/>
    <w:rsid w:val="005D09BE"/>
    <w:rsid w:val="005D2E34"/>
    <w:rsid w:val="005D60CC"/>
    <w:rsid w:val="005E2B17"/>
    <w:rsid w:val="005E3132"/>
    <w:rsid w:val="005E430B"/>
    <w:rsid w:val="005E58FF"/>
    <w:rsid w:val="005E7461"/>
    <w:rsid w:val="005F172E"/>
    <w:rsid w:val="005F2193"/>
    <w:rsid w:val="005F2740"/>
    <w:rsid w:val="005F2AAD"/>
    <w:rsid w:val="005F2B08"/>
    <w:rsid w:val="005F41A4"/>
    <w:rsid w:val="005F5D52"/>
    <w:rsid w:val="005F6C3E"/>
    <w:rsid w:val="005F7DD1"/>
    <w:rsid w:val="00600F94"/>
    <w:rsid w:val="006011BD"/>
    <w:rsid w:val="006014F9"/>
    <w:rsid w:val="006023E8"/>
    <w:rsid w:val="00602844"/>
    <w:rsid w:val="006034FF"/>
    <w:rsid w:val="006037AD"/>
    <w:rsid w:val="00603D42"/>
    <w:rsid w:val="006040D4"/>
    <w:rsid w:val="006046C0"/>
    <w:rsid w:val="0060519E"/>
    <w:rsid w:val="006060DF"/>
    <w:rsid w:val="00610C06"/>
    <w:rsid w:val="00614456"/>
    <w:rsid w:val="00615315"/>
    <w:rsid w:val="00617AEE"/>
    <w:rsid w:val="00620B92"/>
    <w:rsid w:val="00620F40"/>
    <w:rsid w:val="006215BC"/>
    <w:rsid w:val="00624233"/>
    <w:rsid w:val="00624538"/>
    <w:rsid w:val="006254F7"/>
    <w:rsid w:val="00627A76"/>
    <w:rsid w:val="00630418"/>
    <w:rsid w:val="00630669"/>
    <w:rsid w:val="00630CE0"/>
    <w:rsid w:val="006316E4"/>
    <w:rsid w:val="00631C1C"/>
    <w:rsid w:val="00632892"/>
    <w:rsid w:val="00634257"/>
    <w:rsid w:val="00634F8B"/>
    <w:rsid w:val="00635489"/>
    <w:rsid w:val="00635E10"/>
    <w:rsid w:val="00636394"/>
    <w:rsid w:val="006379B2"/>
    <w:rsid w:val="00641240"/>
    <w:rsid w:val="00641F3D"/>
    <w:rsid w:val="00642864"/>
    <w:rsid w:val="00642A51"/>
    <w:rsid w:val="00644192"/>
    <w:rsid w:val="0064506B"/>
    <w:rsid w:val="00646536"/>
    <w:rsid w:val="006508A1"/>
    <w:rsid w:val="00650BDE"/>
    <w:rsid w:val="0065150C"/>
    <w:rsid w:val="0065240E"/>
    <w:rsid w:val="00652A83"/>
    <w:rsid w:val="00653430"/>
    <w:rsid w:val="0065411E"/>
    <w:rsid w:val="0065416B"/>
    <w:rsid w:val="0065447E"/>
    <w:rsid w:val="00655C26"/>
    <w:rsid w:val="00657789"/>
    <w:rsid w:val="00657A7F"/>
    <w:rsid w:val="006602AB"/>
    <w:rsid w:val="00662859"/>
    <w:rsid w:val="006654B1"/>
    <w:rsid w:val="006660F9"/>
    <w:rsid w:val="00666798"/>
    <w:rsid w:val="006669D0"/>
    <w:rsid w:val="00667B32"/>
    <w:rsid w:val="0067029F"/>
    <w:rsid w:val="00670889"/>
    <w:rsid w:val="006708C3"/>
    <w:rsid w:val="0067220F"/>
    <w:rsid w:val="00672401"/>
    <w:rsid w:val="006724E2"/>
    <w:rsid w:val="0067298A"/>
    <w:rsid w:val="00672DDB"/>
    <w:rsid w:val="00673AEE"/>
    <w:rsid w:val="0067590C"/>
    <w:rsid w:val="00677D7F"/>
    <w:rsid w:val="00680954"/>
    <w:rsid w:val="00680A61"/>
    <w:rsid w:val="00680FEF"/>
    <w:rsid w:val="00683CB0"/>
    <w:rsid w:val="00686272"/>
    <w:rsid w:val="00690501"/>
    <w:rsid w:val="0069520F"/>
    <w:rsid w:val="006954AB"/>
    <w:rsid w:val="00697BD6"/>
    <w:rsid w:val="006A081B"/>
    <w:rsid w:val="006A1FC4"/>
    <w:rsid w:val="006A2CB5"/>
    <w:rsid w:val="006A3CDE"/>
    <w:rsid w:val="006A4EA0"/>
    <w:rsid w:val="006A5005"/>
    <w:rsid w:val="006A51AB"/>
    <w:rsid w:val="006A5A3E"/>
    <w:rsid w:val="006A65DF"/>
    <w:rsid w:val="006A709F"/>
    <w:rsid w:val="006B1387"/>
    <w:rsid w:val="006B16E8"/>
    <w:rsid w:val="006B451A"/>
    <w:rsid w:val="006B5EDD"/>
    <w:rsid w:val="006B7068"/>
    <w:rsid w:val="006B77DF"/>
    <w:rsid w:val="006C014D"/>
    <w:rsid w:val="006C08C7"/>
    <w:rsid w:val="006C0B0E"/>
    <w:rsid w:val="006C0F2D"/>
    <w:rsid w:val="006C1875"/>
    <w:rsid w:val="006C1876"/>
    <w:rsid w:val="006C1CD2"/>
    <w:rsid w:val="006C28C1"/>
    <w:rsid w:val="006C2EC4"/>
    <w:rsid w:val="006C3CAD"/>
    <w:rsid w:val="006C4348"/>
    <w:rsid w:val="006C4536"/>
    <w:rsid w:val="006C4737"/>
    <w:rsid w:val="006C58C9"/>
    <w:rsid w:val="006C6286"/>
    <w:rsid w:val="006C634C"/>
    <w:rsid w:val="006C63DD"/>
    <w:rsid w:val="006C7AFC"/>
    <w:rsid w:val="006D026A"/>
    <w:rsid w:val="006D1377"/>
    <w:rsid w:val="006D2680"/>
    <w:rsid w:val="006D4C87"/>
    <w:rsid w:val="006D7A4D"/>
    <w:rsid w:val="006E040D"/>
    <w:rsid w:val="006E2EB8"/>
    <w:rsid w:val="006E377B"/>
    <w:rsid w:val="006E48FC"/>
    <w:rsid w:val="006E4ECE"/>
    <w:rsid w:val="006E5ECA"/>
    <w:rsid w:val="006E5FA7"/>
    <w:rsid w:val="006E6913"/>
    <w:rsid w:val="006E6D7C"/>
    <w:rsid w:val="006E6EEA"/>
    <w:rsid w:val="006F020B"/>
    <w:rsid w:val="006F0442"/>
    <w:rsid w:val="006F12A1"/>
    <w:rsid w:val="006F1638"/>
    <w:rsid w:val="006F18D7"/>
    <w:rsid w:val="006F1FA7"/>
    <w:rsid w:val="006F4D2E"/>
    <w:rsid w:val="006F5F99"/>
    <w:rsid w:val="006F6BD2"/>
    <w:rsid w:val="006F753C"/>
    <w:rsid w:val="007025DE"/>
    <w:rsid w:val="00702C87"/>
    <w:rsid w:val="00703021"/>
    <w:rsid w:val="00705387"/>
    <w:rsid w:val="007057C3"/>
    <w:rsid w:val="00706E47"/>
    <w:rsid w:val="0071129C"/>
    <w:rsid w:val="00713956"/>
    <w:rsid w:val="00713C5E"/>
    <w:rsid w:val="00714DF0"/>
    <w:rsid w:val="00715016"/>
    <w:rsid w:val="007153AF"/>
    <w:rsid w:val="007156C2"/>
    <w:rsid w:val="007160FA"/>
    <w:rsid w:val="00720D59"/>
    <w:rsid w:val="00720D63"/>
    <w:rsid w:val="00723D6D"/>
    <w:rsid w:val="007241C9"/>
    <w:rsid w:val="007247FB"/>
    <w:rsid w:val="007279B9"/>
    <w:rsid w:val="00731976"/>
    <w:rsid w:val="007325D3"/>
    <w:rsid w:val="007337B3"/>
    <w:rsid w:val="0073502B"/>
    <w:rsid w:val="0073505E"/>
    <w:rsid w:val="007350A8"/>
    <w:rsid w:val="00736654"/>
    <w:rsid w:val="007369B0"/>
    <w:rsid w:val="00736C8E"/>
    <w:rsid w:val="00736F10"/>
    <w:rsid w:val="0074042C"/>
    <w:rsid w:val="00741334"/>
    <w:rsid w:val="0074184B"/>
    <w:rsid w:val="00742867"/>
    <w:rsid w:val="00742CA5"/>
    <w:rsid w:val="007433EA"/>
    <w:rsid w:val="00743740"/>
    <w:rsid w:val="007455B4"/>
    <w:rsid w:val="00745A59"/>
    <w:rsid w:val="00745B1F"/>
    <w:rsid w:val="007476D0"/>
    <w:rsid w:val="0075090D"/>
    <w:rsid w:val="007533C8"/>
    <w:rsid w:val="0075372D"/>
    <w:rsid w:val="0075425A"/>
    <w:rsid w:val="0075429F"/>
    <w:rsid w:val="00754622"/>
    <w:rsid w:val="0075629B"/>
    <w:rsid w:val="00757A82"/>
    <w:rsid w:val="0076119E"/>
    <w:rsid w:val="00764355"/>
    <w:rsid w:val="007652BB"/>
    <w:rsid w:val="007652C4"/>
    <w:rsid w:val="00765E6A"/>
    <w:rsid w:val="00767E46"/>
    <w:rsid w:val="007710A2"/>
    <w:rsid w:val="00771FBB"/>
    <w:rsid w:val="00773DAC"/>
    <w:rsid w:val="00773DF0"/>
    <w:rsid w:val="00775437"/>
    <w:rsid w:val="00775B60"/>
    <w:rsid w:val="00776E22"/>
    <w:rsid w:val="00777D87"/>
    <w:rsid w:val="00780D0F"/>
    <w:rsid w:val="0078200C"/>
    <w:rsid w:val="00782FB8"/>
    <w:rsid w:val="0078322F"/>
    <w:rsid w:val="00783428"/>
    <w:rsid w:val="00784083"/>
    <w:rsid w:val="0078614E"/>
    <w:rsid w:val="00787C4A"/>
    <w:rsid w:val="00791D97"/>
    <w:rsid w:val="00792F34"/>
    <w:rsid w:val="0079385F"/>
    <w:rsid w:val="00793D32"/>
    <w:rsid w:val="00794DAA"/>
    <w:rsid w:val="00795BAF"/>
    <w:rsid w:val="00796B6E"/>
    <w:rsid w:val="00797FD7"/>
    <w:rsid w:val="007A3711"/>
    <w:rsid w:val="007A3E12"/>
    <w:rsid w:val="007A4AD5"/>
    <w:rsid w:val="007A5E7D"/>
    <w:rsid w:val="007A6E1C"/>
    <w:rsid w:val="007B18F3"/>
    <w:rsid w:val="007B291F"/>
    <w:rsid w:val="007B643F"/>
    <w:rsid w:val="007B728C"/>
    <w:rsid w:val="007C05F0"/>
    <w:rsid w:val="007C17CF"/>
    <w:rsid w:val="007C1C7E"/>
    <w:rsid w:val="007C3D4D"/>
    <w:rsid w:val="007C556A"/>
    <w:rsid w:val="007C68B2"/>
    <w:rsid w:val="007C68EC"/>
    <w:rsid w:val="007D01EA"/>
    <w:rsid w:val="007D06A4"/>
    <w:rsid w:val="007D2315"/>
    <w:rsid w:val="007D2A01"/>
    <w:rsid w:val="007D429D"/>
    <w:rsid w:val="007D4495"/>
    <w:rsid w:val="007D4A63"/>
    <w:rsid w:val="007D4E65"/>
    <w:rsid w:val="007D5E0A"/>
    <w:rsid w:val="007D6AC6"/>
    <w:rsid w:val="007E02C7"/>
    <w:rsid w:val="007E3741"/>
    <w:rsid w:val="007E61FD"/>
    <w:rsid w:val="007E6D45"/>
    <w:rsid w:val="007E6F91"/>
    <w:rsid w:val="007E7126"/>
    <w:rsid w:val="007E7812"/>
    <w:rsid w:val="007F05A6"/>
    <w:rsid w:val="007F077C"/>
    <w:rsid w:val="007F1325"/>
    <w:rsid w:val="007F2671"/>
    <w:rsid w:val="007F48C4"/>
    <w:rsid w:val="007F4B15"/>
    <w:rsid w:val="007F5FEE"/>
    <w:rsid w:val="007F7CD5"/>
    <w:rsid w:val="008013BC"/>
    <w:rsid w:val="0080192F"/>
    <w:rsid w:val="00802466"/>
    <w:rsid w:val="00802E52"/>
    <w:rsid w:val="00803ABE"/>
    <w:rsid w:val="00804792"/>
    <w:rsid w:val="00805341"/>
    <w:rsid w:val="0080575C"/>
    <w:rsid w:val="00805B41"/>
    <w:rsid w:val="0080785A"/>
    <w:rsid w:val="008102C5"/>
    <w:rsid w:val="008105C6"/>
    <w:rsid w:val="00810A3D"/>
    <w:rsid w:val="0081208E"/>
    <w:rsid w:val="00812979"/>
    <w:rsid w:val="0081624C"/>
    <w:rsid w:val="00816AB5"/>
    <w:rsid w:val="00816D96"/>
    <w:rsid w:val="00817D5A"/>
    <w:rsid w:val="00820611"/>
    <w:rsid w:val="00821E84"/>
    <w:rsid w:val="0082277E"/>
    <w:rsid w:val="00823B7B"/>
    <w:rsid w:val="00831063"/>
    <w:rsid w:val="008336FE"/>
    <w:rsid w:val="00837C1C"/>
    <w:rsid w:val="008414D1"/>
    <w:rsid w:val="00841DC4"/>
    <w:rsid w:val="008422DE"/>
    <w:rsid w:val="00844E3E"/>
    <w:rsid w:val="00844ED0"/>
    <w:rsid w:val="00844F7E"/>
    <w:rsid w:val="00845814"/>
    <w:rsid w:val="008458D2"/>
    <w:rsid w:val="0084738E"/>
    <w:rsid w:val="00850114"/>
    <w:rsid w:val="00851859"/>
    <w:rsid w:val="00851906"/>
    <w:rsid w:val="0085273B"/>
    <w:rsid w:val="00852849"/>
    <w:rsid w:val="008542DB"/>
    <w:rsid w:val="00855ACB"/>
    <w:rsid w:val="00856831"/>
    <w:rsid w:val="00857EE4"/>
    <w:rsid w:val="00860130"/>
    <w:rsid w:val="0086272F"/>
    <w:rsid w:val="008646EC"/>
    <w:rsid w:val="00864884"/>
    <w:rsid w:val="00864D0D"/>
    <w:rsid w:val="00865C34"/>
    <w:rsid w:val="00865DDB"/>
    <w:rsid w:val="00867C9F"/>
    <w:rsid w:val="008707EA"/>
    <w:rsid w:val="00870FA7"/>
    <w:rsid w:val="00871168"/>
    <w:rsid w:val="00871FF3"/>
    <w:rsid w:val="008720F3"/>
    <w:rsid w:val="0087745C"/>
    <w:rsid w:val="008775D8"/>
    <w:rsid w:val="0087784E"/>
    <w:rsid w:val="0088132C"/>
    <w:rsid w:val="00882094"/>
    <w:rsid w:val="00883DE3"/>
    <w:rsid w:val="00884C37"/>
    <w:rsid w:val="00885E45"/>
    <w:rsid w:val="00886F7A"/>
    <w:rsid w:val="008876E2"/>
    <w:rsid w:val="00887F19"/>
    <w:rsid w:val="0089562E"/>
    <w:rsid w:val="008967FF"/>
    <w:rsid w:val="0089687F"/>
    <w:rsid w:val="008A0833"/>
    <w:rsid w:val="008A0D51"/>
    <w:rsid w:val="008A2C0D"/>
    <w:rsid w:val="008A35B6"/>
    <w:rsid w:val="008A36B2"/>
    <w:rsid w:val="008A43E8"/>
    <w:rsid w:val="008A52D6"/>
    <w:rsid w:val="008B03AD"/>
    <w:rsid w:val="008B1FD3"/>
    <w:rsid w:val="008B1FE5"/>
    <w:rsid w:val="008B3141"/>
    <w:rsid w:val="008B435F"/>
    <w:rsid w:val="008B61C2"/>
    <w:rsid w:val="008B6ED6"/>
    <w:rsid w:val="008C0FBF"/>
    <w:rsid w:val="008C2469"/>
    <w:rsid w:val="008C2869"/>
    <w:rsid w:val="008C3472"/>
    <w:rsid w:val="008C5556"/>
    <w:rsid w:val="008C55F1"/>
    <w:rsid w:val="008C5BBE"/>
    <w:rsid w:val="008C76E6"/>
    <w:rsid w:val="008C7CEA"/>
    <w:rsid w:val="008D09E4"/>
    <w:rsid w:val="008D20F0"/>
    <w:rsid w:val="008D3114"/>
    <w:rsid w:val="008D4439"/>
    <w:rsid w:val="008D46EF"/>
    <w:rsid w:val="008E0883"/>
    <w:rsid w:val="008E08E1"/>
    <w:rsid w:val="008E32BD"/>
    <w:rsid w:val="008E393E"/>
    <w:rsid w:val="008E5F83"/>
    <w:rsid w:val="008E754E"/>
    <w:rsid w:val="008E7D1A"/>
    <w:rsid w:val="008F09F1"/>
    <w:rsid w:val="008F1349"/>
    <w:rsid w:val="008F1AB9"/>
    <w:rsid w:val="008F1DE5"/>
    <w:rsid w:val="008F21B5"/>
    <w:rsid w:val="008F28A5"/>
    <w:rsid w:val="008F2D88"/>
    <w:rsid w:val="008F4571"/>
    <w:rsid w:val="00900EC4"/>
    <w:rsid w:val="009020A0"/>
    <w:rsid w:val="00902BC1"/>
    <w:rsid w:val="00902EC6"/>
    <w:rsid w:val="00905717"/>
    <w:rsid w:val="009068F6"/>
    <w:rsid w:val="00911AF0"/>
    <w:rsid w:val="00913DBD"/>
    <w:rsid w:val="00914320"/>
    <w:rsid w:val="0091459C"/>
    <w:rsid w:val="00917D07"/>
    <w:rsid w:val="009206FD"/>
    <w:rsid w:val="00922800"/>
    <w:rsid w:val="00924857"/>
    <w:rsid w:val="00926F32"/>
    <w:rsid w:val="00927ADD"/>
    <w:rsid w:val="00930C97"/>
    <w:rsid w:val="00931128"/>
    <w:rsid w:val="009314D8"/>
    <w:rsid w:val="00931976"/>
    <w:rsid w:val="00931B0C"/>
    <w:rsid w:val="00932466"/>
    <w:rsid w:val="0093263D"/>
    <w:rsid w:val="009357E9"/>
    <w:rsid w:val="00935F44"/>
    <w:rsid w:val="0093604B"/>
    <w:rsid w:val="0093769B"/>
    <w:rsid w:val="0094097E"/>
    <w:rsid w:val="0094336E"/>
    <w:rsid w:val="009444C0"/>
    <w:rsid w:val="00944673"/>
    <w:rsid w:val="00945646"/>
    <w:rsid w:val="00946F8A"/>
    <w:rsid w:val="00951120"/>
    <w:rsid w:val="00951CC3"/>
    <w:rsid w:val="00952227"/>
    <w:rsid w:val="0095238D"/>
    <w:rsid w:val="0095320D"/>
    <w:rsid w:val="00956D7F"/>
    <w:rsid w:val="00957233"/>
    <w:rsid w:val="00961646"/>
    <w:rsid w:val="009700D8"/>
    <w:rsid w:val="009701CB"/>
    <w:rsid w:val="00970567"/>
    <w:rsid w:val="00971D68"/>
    <w:rsid w:val="00972001"/>
    <w:rsid w:val="009729A7"/>
    <w:rsid w:val="009735EA"/>
    <w:rsid w:val="00974E08"/>
    <w:rsid w:val="009763AD"/>
    <w:rsid w:val="0098009C"/>
    <w:rsid w:val="009806BE"/>
    <w:rsid w:val="0098155A"/>
    <w:rsid w:val="00984D02"/>
    <w:rsid w:val="009851BB"/>
    <w:rsid w:val="0098669F"/>
    <w:rsid w:val="009872C0"/>
    <w:rsid w:val="0099113F"/>
    <w:rsid w:val="009913FA"/>
    <w:rsid w:val="00991402"/>
    <w:rsid w:val="00992A10"/>
    <w:rsid w:val="00993825"/>
    <w:rsid w:val="009959EE"/>
    <w:rsid w:val="00995AFF"/>
    <w:rsid w:val="00996EC9"/>
    <w:rsid w:val="00997620"/>
    <w:rsid w:val="009A1DD4"/>
    <w:rsid w:val="009A372D"/>
    <w:rsid w:val="009A45DF"/>
    <w:rsid w:val="009A46B0"/>
    <w:rsid w:val="009A4B7E"/>
    <w:rsid w:val="009A5320"/>
    <w:rsid w:val="009A5EB7"/>
    <w:rsid w:val="009A63CA"/>
    <w:rsid w:val="009A7AEC"/>
    <w:rsid w:val="009B18E4"/>
    <w:rsid w:val="009B2904"/>
    <w:rsid w:val="009B4288"/>
    <w:rsid w:val="009B5779"/>
    <w:rsid w:val="009B609A"/>
    <w:rsid w:val="009B7AE4"/>
    <w:rsid w:val="009C34D6"/>
    <w:rsid w:val="009C4F7D"/>
    <w:rsid w:val="009C67E6"/>
    <w:rsid w:val="009C6E90"/>
    <w:rsid w:val="009C7C21"/>
    <w:rsid w:val="009D0361"/>
    <w:rsid w:val="009D0D56"/>
    <w:rsid w:val="009D0E38"/>
    <w:rsid w:val="009D2496"/>
    <w:rsid w:val="009D3493"/>
    <w:rsid w:val="009D62DB"/>
    <w:rsid w:val="009D7A70"/>
    <w:rsid w:val="009E05F7"/>
    <w:rsid w:val="009E174C"/>
    <w:rsid w:val="009E186F"/>
    <w:rsid w:val="009E26B4"/>
    <w:rsid w:val="009E31A2"/>
    <w:rsid w:val="009E38DD"/>
    <w:rsid w:val="009E58EF"/>
    <w:rsid w:val="009E68A4"/>
    <w:rsid w:val="009E7CB4"/>
    <w:rsid w:val="009F107F"/>
    <w:rsid w:val="009F247B"/>
    <w:rsid w:val="009F2CA1"/>
    <w:rsid w:val="009F3268"/>
    <w:rsid w:val="009F4AE2"/>
    <w:rsid w:val="009F51F1"/>
    <w:rsid w:val="009F573F"/>
    <w:rsid w:val="009F5B7E"/>
    <w:rsid w:val="009F605C"/>
    <w:rsid w:val="009F6B85"/>
    <w:rsid w:val="009F6CAE"/>
    <w:rsid w:val="009F7F81"/>
    <w:rsid w:val="00A00873"/>
    <w:rsid w:val="00A02B37"/>
    <w:rsid w:val="00A02D26"/>
    <w:rsid w:val="00A02E23"/>
    <w:rsid w:val="00A02E6B"/>
    <w:rsid w:val="00A03BB9"/>
    <w:rsid w:val="00A03DC0"/>
    <w:rsid w:val="00A05E1E"/>
    <w:rsid w:val="00A06202"/>
    <w:rsid w:val="00A06563"/>
    <w:rsid w:val="00A073F1"/>
    <w:rsid w:val="00A101A7"/>
    <w:rsid w:val="00A10333"/>
    <w:rsid w:val="00A10A64"/>
    <w:rsid w:val="00A11451"/>
    <w:rsid w:val="00A13181"/>
    <w:rsid w:val="00A13855"/>
    <w:rsid w:val="00A150F0"/>
    <w:rsid w:val="00A16194"/>
    <w:rsid w:val="00A16405"/>
    <w:rsid w:val="00A173CB"/>
    <w:rsid w:val="00A20422"/>
    <w:rsid w:val="00A20702"/>
    <w:rsid w:val="00A218D0"/>
    <w:rsid w:val="00A21B88"/>
    <w:rsid w:val="00A21CE6"/>
    <w:rsid w:val="00A22E92"/>
    <w:rsid w:val="00A25253"/>
    <w:rsid w:val="00A25928"/>
    <w:rsid w:val="00A26813"/>
    <w:rsid w:val="00A26BDF"/>
    <w:rsid w:val="00A322D2"/>
    <w:rsid w:val="00A32382"/>
    <w:rsid w:val="00A36BCE"/>
    <w:rsid w:val="00A36BF5"/>
    <w:rsid w:val="00A43997"/>
    <w:rsid w:val="00A441BF"/>
    <w:rsid w:val="00A45A86"/>
    <w:rsid w:val="00A47301"/>
    <w:rsid w:val="00A51D09"/>
    <w:rsid w:val="00A52850"/>
    <w:rsid w:val="00A52908"/>
    <w:rsid w:val="00A5314D"/>
    <w:rsid w:val="00A53164"/>
    <w:rsid w:val="00A53710"/>
    <w:rsid w:val="00A54E09"/>
    <w:rsid w:val="00A552D7"/>
    <w:rsid w:val="00A5694C"/>
    <w:rsid w:val="00A56E48"/>
    <w:rsid w:val="00A5789C"/>
    <w:rsid w:val="00A57C1B"/>
    <w:rsid w:val="00A60D1E"/>
    <w:rsid w:val="00A60E95"/>
    <w:rsid w:val="00A61A2A"/>
    <w:rsid w:val="00A64A7A"/>
    <w:rsid w:val="00A64DC6"/>
    <w:rsid w:val="00A65D62"/>
    <w:rsid w:val="00A676C3"/>
    <w:rsid w:val="00A67B2D"/>
    <w:rsid w:val="00A7031B"/>
    <w:rsid w:val="00A7093D"/>
    <w:rsid w:val="00A7178D"/>
    <w:rsid w:val="00A71ED7"/>
    <w:rsid w:val="00A724BB"/>
    <w:rsid w:val="00A726E3"/>
    <w:rsid w:val="00A7355B"/>
    <w:rsid w:val="00A74F1B"/>
    <w:rsid w:val="00A75ADC"/>
    <w:rsid w:val="00A760A8"/>
    <w:rsid w:val="00A8017C"/>
    <w:rsid w:val="00A80609"/>
    <w:rsid w:val="00A8092D"/>
    <w:rsid w:val="00A8201B"/>
    <w:rsid w:val="00A827A0"/>
    <w:rsid w:val="00A863F7"/>
    <w:rsid w:val="00A86A26"/>
    <w:rsid w:val="00A91730"/>
    <w:rsid w:val="00A91F0F"/>
    <w:rsid w:val="00A93AB7"/>
    <w:rsid w:val="00A93BAB"/>
    <w:rsid w:val="00A94BF8"/>
    <w:rsid w:val="00A976C8"/>
    <w:rsid w:val="00AA1F25"/>
    <w:rsid w:val="00AA222A"/>
    <w:rsid w:val="00AB2773"/>
    <w:rsid w:val="00AB4414"/>
    <w:rsid w:val="00AB495D"/>
    <w:rsid w:val="00AB7F82"/>
    <w:rsid w:val="00AC1AED"/>
    <w:rsid w:val="00AC21E0"/>
    <w:rsid w:val="00AC33B3"/>
    <w:rsid w:val="00AC5145"/>
    <w:rsid w:val="00AC599B"/>
    <w:rsid w:val="00AC6E5D"/>
    <w:rsid w:val="00AD0CEF"/>
    <w:rsid w:val="00AD1651"/>
    <w:rsid w:val="00AD1C66"/>
    <w:rsid w:val="00AD49C3"/>
    <w:rsid w:val="00AD7718"/>
    <w:rsid w:val="00AE147C"/>
    <w:rsid w:val="00AE33F1"/>
    <w:rsid w:val="00AE36F3"/>
    <w:rsid w:val="00AE37FA"/>
    <w:rsid w:val="00AE3C06"/>
    <w:rsid w:val="00AE418C"/>
    <w:rsid w:val="00AE4794"/>
    <w:rsid w:val="00AF0124"/>
    <w:rsid w:val="00AF2AF4"/>
    <w:rsid w:val="00AF310A"/>
    <w:rsid w:val="00AF44E6"/>
    <w:rsid w:val="00AF5008"/>
    <w:rsid w:val="00AF5193"/>
    <w:rsid w:val="00AF5794"/>
    <w:rsid w:val="00AF589E"/>
    <w:rsid w:val="00AF6903"/>
    <w:rsid w:val="00AF6D63"/>
    <w:rsid w:val="00AF744E"/>
    <w:rsid w:val="00AF765B"/>
    <w:rsid w:val="00B01152"/>
    <w:rsid w:val="00B03789"/>
    <w:rsid w:val="00B03C9F"/>
    <w:rsid w:val="00B04E2D"/>
    <w:rsid w:val="00B0790C"/>
    <w:rsid w:val="00B1048E"/>
    <w:rsid w:val="00B123E9"/>
    <w:rsid w:val="00B1396D"/>
    <w:rsid w:val="00B13A4A"/>
    <w:rsid w:val="00B1427C"/>
    <w:rsid w:val="00B1476B"/>
    <w:rsid w:val="00B148BF"/>
    <w:rsid w:val="00B16EFF"/>
    <w:rsid w:val="00B212D3"/>
    <w:rsid w:val="00B2339A"/>
    <w:rsid w:val="00B234A7"/>
    <w:rsid w:val="00B23B4F"/>
    <w:rsid w:val="00B24A6D"/>
    <w:rsid w:val="00B24CFB"/>
    <w:rsid w:val="00B26160"/>
    <w:rsid w:val="00B26172"/>
    <w:rsid w:val="00B27890"/>
    <w:rsid w:val="00B34315"/>
    <w:rsid w:val="00B3493B"/>
    <w:rsid w:val="00B34DFD"/>
    <w:rsid w:val="00B353EE"/>
    <w:rsid w:val="00B3560F"/>
    <w:rsid w:val="00B36914"/>
    <w:rsid w:val="00B376CF"/>
    <w:rsid w:val="00B411EB"/>
    <w:rsid w:val="00B4132F"/>
    <w:rsid w:val="00B417EB"/>
    <w:rsid w:val="00B42B01"/>
    <w:rsid w:val="00B44CD3"/>
    <w:rsid w:val="00B45189"/>
    <w:rsid w:val="00B4634E"/>
    <w:rsid w:val="00B47111"/>
    <w:rsid w:val="00B47C31"/>
    <w:rsid w:val="00B50FC3"/>
    <w:rsid w:val="00B5170E"/>
    <w:rsid w:val="00B53170"/>
    <w:rsid w:val="00B5333B"/>
    <w:rsid w:val="00B55B3E"/>
    <w:rsid w:val="00B60F01"/>
    <w:rsid w:val="00B643D7"/>
    <w:rsid w:val="00B643DE"/>
    <w:rsid w:val="00B66808"/>
    <w:rsid w:val="00B66C8F"/>
    <w:rsid w:val="00B70C87"/>
    <w:rsid w:val="00B714B0"/>
    <w:rsid w:val="00B737D7"/>
    <w:rsid w:val="00B75185"/>
    <w:rsid w:val="00B771CB"/>
    <w:rsid w:val="00B81F2D"/>
    <w:rsid w:val="00B82512"/>
    <w:rsid w:val="00B832F6"/>
    <w:rsid w:val="00B840B8"/>
    <w:rsid w:val="00B84AF6"/>
    <w:rsid w:val="00B87363"/>
    <w:rsid w:val="00B87579"/>
    <w:rsid w:val="00B906A1"/>
    <w:rsid w:val="00B90823"/>
    <w:rsid w:val="00B90A31"/>
    <w:rsid w:val="00B929F5"/>
    <w:rsid w:val="00B92E66"/>
    <w:rsid w:val="00B94616"/>
    <w:rsid w:val="00B95150"/>
    <w:rsid w:val="00BA151B"/>
    <w:rsid w:val="00BA154C"/>
    <w:rsid w:val="00BA3673"/>
    <w:rsid w:val="00BA5E75"/>
    <w:rsid w:val="00BA63AD"/>
    <w:rsid w:val="00BA6788"/>
    <w:rsid w:val="00BA6D40"/>
    <w:rsid w:val="00BA7B9A"/>
    <w:rsid w:val="00BB0E4C"/>
    <w:rsid w:val="00BB1AC1"/>
    <w:rsid w:val="00BB233F"/>
    <w:rsid w:val="00BB40E9"/>
    <w:rsid w:val="00BB4677"/>
    <w:rsid w:val="00BB514B"/>
    <w:rsid w:val="00BB55FF"/>
    <w:rsid w:val="00BB5BD9"/>
    <w:rsid w:val="00BB6137"/>
    <w:rsid w:val="00BB6798"/>
    <w:rsid w:val="00BB731F"/>
    <w:rsid w:val="00BB76E4"/>
    <w:rsid w:val="00BC02DD"/>
    <w:rsid w:val="00BC0D8A"/>
    <w:rsid w:val="00BC2BE1"/>
    <w:rsid w:val="00BC4131"/>
    <w:rsid w:val="00BC7998"/>
    <w:rsid w:val="00BC7B86"/>
    <w:rsid w:val="00BD0641"/>
    <w:rsid w:val="00BD1B23"/>
    <w:rsid w:val="00BD2681"/>
    <w:rsid w:val="00BD443F"/>
    <w:rsid w:val="00BD5573"/>
    <w:rsid w:val="00BE020B"/>
    <w:rsid w:val="00BE0528"/>
    <w:rsid w:val="00BE0843"/>
    <w:rsid w:val="00BE1868"/>
    <w:rsid w:val="00BE188F"/>
    <w:rsid w:val="00BE1A57"/>
    <w:rsid w:val="00BE1A78"/>
    <w:rsid w:val="00BE24A9"/>
    <w:rsid w:val="00BE28B3"/>
    <w:rsid w:val="00BE2E8A"/>
    <w:rsid w:val="00BE546D"/>
    <w:rsid w:val="00BE6248"/>
    <w:rsid w:val="00BE6945"/>
    <w:rsid w:val="00BE7D7B"/>
    <w:rsid w:val="00BF03B5"/>
    <w:rsid w:val="00BF0705"/>
    <w:rsid w:val="00BF12E4"/>
    <w:rsid w:val="00BF158B"/>
    <w:rsid w:val="00BF2D60"/>
    <w:rsid w:val="00BF4CA1"/>
    <w:rsid w:val="00BF4D48"/>
    <w:rsid w:val="00BF51A1"/>
    <w:rsid w:val="00BF5E69"/>
    <w:rsid w:val="00BF6BDC"/>
    <w:rsid w:val="00BF6FDC"/>
    <w:rsid w:val="00C0138B"/>
    <w:rsid w:val="00C020E7"/>
    <w:rsid w:val="00C02A87"/>
    <w:rsid w:val="00C03DEF"/>
    <w:rsid w:val="00C0421A"/>
    <w:rsid w:val="00C0477D"/>
    <w:rsid w:val="00C11742"/>
    <w:rsid w:val="00C11913"/>
    <w:rsid w:val="00C12390"/>
    <w:rsid w:val="00C124F2"/>
    <w:rsid w:val="00C12FA1"/>
    <w:rsid w:val="00C13E19"/>
    <w:rsid w:val="00C14899"/>
    <w:rsid w:val="00C15121"/>
    <w:rsid w:val="00C16F03"/>
    <w:rsid w:val="00C2003E"/>
    <w:rsid w:val="00C21A23"/>
    <w:rsid w:val="00C21E6B"/>
    <w:rsid w:val="00C234EB"/>
    <w:rsid w:val="00C23AAE"/>
    <w:rsid w:val="00C24A98"/>
    <w:rsid w:val="00C25415"/>
    <w:rsid w:val="00C2649B"/>
    <w:rsid w:val="00C2661E"/>
    <w:rsid w:val="00C30F3C"/>
    <w:rsid w:val="00C311AB"/>
    <w:rsid w:val="00C3162A"/>
    <w:rsid w:val="00C31D4F"/>
    <w:rsid w:val="00C32488"/>
    <w:rsid w:val="00C3260A"/>
    <w:rsid w:val="00C34699"/>
    <w:rsid w:val="00C37606"/>
    <w:rsid w:val="00C41BA7"/>
    <w:rsid w:val="00C42232"/>
    <w:rsid w:val="00C44287"/>
    <w:rsid w:val="00C44E38"/>
    <w:rsid w:val="00C453C0"/>
    <w:rsid w:val="00C45588"/>
    <w:rsid w:val="00C45EB0"/>
    <w:rsid w:val="00C46308"/>
    <w:rsid w:val="00C4772A"/>
    <w:rsid w:val="00C47FB6"/>
    <w:rsid w:val="00C53322"/>
    <w:rsid w:val="00C54033"/>
    <w:rsid w:val="00C54D66"/>
    <w:rsid w:val="00C563FA"/>
    <w:rsid w:val="00C60357"/>
    <w:rsid w:val="00C634CA"/>
    <w:rsid w:val="00C63F87"/>
    <w:rsid w:val="00C64C4F"/>
    <w:rsid w:val="00C652CB"/>
    <w:rsid w:val="00C67D0C"/>
    <w:rsid w:val="00C70DFA"/>
    <w:rsid w:val="00C726E7"/>
    <w:rsid w:val="00C733CA"/>
    <w:rsid w:val="00C73C25"/>
    <w:rsid w:val="00C74BE6"/>
    <w:rsid w:val="00C75442"/>
    <w:rsid w:val="00C80BBF"/>
    <w:rsid w:val="00C81659"/>
    <w:rsid w:val="00C82F1B"/>
    <w:rsid w:val="00C836C3"/>
    <w:rsid w:val="00C8408D"/>
    <w:rsid w:val="00C846D6"/>
    <w:rsid w:val="00C8522E"/>
    <w:rsid w:val="00C859F8"/>
    <w:rsid w:val="00C8713C"/>
    <w:rsid w:val="00C908C5"/>
    <w:rsid w:val="00C915A6"/>
    <w:rsid w:val="00C93277"/>
    <w:rsid w:val="00C95514"/>
    <w:rsid w:val="00C9585A"/>
    <w:rsid w:val="00C95EF7"/>
    <w:rsid w:val="00C96828"/>
    <w:rsid w:val="00C9731E"/>
    <w:rsid w:val="00CA17A1"/>
    <w:rsid w:val="00CA276D"/>
    <w:rsid w:val="00CA2946"/>
    <w:rsid w:val="00CA3337"/>
    <w:rsid w:val="00CA52E8"/>
    <w:rsid w:val="00CA5BF3"/>
    <w:rsid w:val="00CA5FE8"/>
    <w:rsid w:val="00CA60D8"/>
    <w:rsid w:val="00CA7AF5"/>
    <w:rsid w:val="00CB0288"/>
    <w:rsid w:val="00CB10F2"/>
    <w:rsid w:val="00CB5118"/>
    <w:rsid w:val="00CB59B2"/>
    <w:rsid w:val="00CB6FC5"/>
    <w:rsid w:val="00CC1139"/>
    <w:rsid w:val="00CC3F47"/>
    <w:rsid w:val="00CC5603"/>
    <w:rsid w:val="00CC5927"/>
    <w:rsid w:val="00CC5D9D"/>
    <w:rsid w:val="00CC7ECB"/>
    <w:rsid w:val="00CD05C7"/>
    <w:rsid w:val="00CD0D24"/>
    <w:rsid w:val="00CD25D8"/>
    <w:rsid w:val="00CD2EAC"/>
    <w:rsid w:val="00CD33D3"/>
    <w:rsid w:val="00CD34E9"/>
    <w:rsid w:val="00CD353D"/>
    <w:rsid w:val="00CD3870"/>
    <w:rsid w:val="00CD520E"/>
    <w:rsid w:val="00CD56D8"/>
    <w:rsid w:val="00CD6900"/>
    <w:rsid w:val="00CD7671"/>
    <w:rsid w:val="00CE0428"/>
    <w:rsid w:val="00CE07B9"/>
    <w:rsid w:val="00CE0CA0"/>
    <w:rsid w:val="00CE1E8F"/>
    <w:rsid w:val="00CE2B39"/>
    <w:rsid w:val="00CE3047"/>
    <w:rsid w:val="00CE3946"/>
    <w:rsid w:val="00CE407F"/>
    <w:rsid w:val="00CE40F7"/>
    <w:rsid w:val="00CE4847"/>
    <w:rsid w:val="00CE61D6"/>
    <w:rsid w:val="00CE67D6"/>
    <w:rsid w:val="00CF183F"/>
    <w:rsid w:val="00CF2381"/>
    <w:rsid w:val="00CF5504"/>
    <w:rsid w:val="00CF6420"/>
    <w:rsid w:val="00CF726D"/>
    <w:rsid w:val="00D00892"/>
    <w:rsid w:val="00D02BA2"/>
    <w:rsid w:val="00D0308C"/>
    <w:rsid w:val="00D0314E"/>
    <w:rsid w:val="00D034F1"/>
    <w:rsid w:val="00D0468B"/>
    <w:rsid w:val="00D049FD"/>
    <w:rsid w:val="00D05247"/>
    <w:rsid w:val="00D05FE9"/>
    <w:rsid w:val="00D126D2"/>
    <w:rsid w:val="00D14057"/>
    <w:rsid w:val="00D16BD2"/>
    <w:rsid w:val="00D17135"/>
    <w:rsid w:val="00D172EB"/>
    <w:rsid w:val="00D21742"/>
    <w:rsid w:val="00D21C21"/>
    <w:rsid w:val="00D222DA"/>
    <w:rsid w:val="00D22D20"/>
    <w:rsid w:val="00D25D3A"/>
    <w:rsid w:val="00D25FD8"/>
    <w:rsid w:val="00D2634E"/>
    <w:rsid w:val="00D2665C"/>
    <w:rsid w:val="00D27657"/>
    <w:rsid w:val="00D31ED5"/>
    <w:rsid w:val="00D323EE"/>
    <w:rsid w:val="00D32F0E"/>
    <w:rsid w:val="00D343A5"/>
    <w:rsid w:val="00D34FD4"/>
    <w:rsid w:val="00D35B56"/>
    <w:rsid w:val="00D375E0"/>
    <w:rsid w:val="00D405C9"/>
    <w:rsid w:val="00D416BB"/>
    <w:rsid w:val="00D422A3"/>
    <w:rsid w:val="00D43189"/>
    <w:rsid w:val="00D45403"/>
    <w:rsid w:val="00D462FC"/>
    <w:rsid w:val="00D46BB5"/>
    <w:rsid w:val="00D47472"/>
    <w:rsid w:val="00D4762E"/>
    <w:rsid w:val="00D47E54"/>
    <w:rsid w:val="00D50D7B"/>
    <w:rsid w:val="00D511C9"/>
    <w:rsid w:val="00D51B32"/>
    <w:rsid w:val="00D5326F"/>
    <w:rsid w:val="00D56F44"/>
    <w:rsid w:val="00D574E6"/>
    <w:rsid w:val="00D5770B"/>
    <w:rsid w:val="00D57A3A"/>
    <w:rsid w:val="00D57B0B"/>
    <w:rsid w:val="00D60134"/>
    <w:rsid w:val="00D6017E"/>
    <w:rsid w:val="00D60F39"/>
    <w:rsid w:val="00D610D5"/>
    <w:rsid w:val="00D618A7"/>
    <w:rsid w:val="00D6249E"/>
    <w:rsid w:val="00D63FC5"/>
    <w:rsid w:val="00D6487B"/>
    <w:rsid w:val="00D65814"/>
    <w:rsid w:val="00D672F3"/>
    <w:rsid w:val="00D701F4"/>
    <w:rsid w:val="00D71E6A"/>
    <w:rsid w:val="00D762AD"/>
    <w:rsid w:val="00D7712F"/>
    <w:rsid w:val="00D77793"/>
    <w:rsid w:val="00D836C1"/>
    <w:rsid w:val="00D83A44"/>
    <w:rsid w:val="00D84380"/>
    <w:rsid w:val="00D87BA2"/>
    <w:rsid w:val="00D904B9"/>
    <w:rsid w:val="00D90F1A"/>
    <w:rsid w:val="00D9104B"/>
    <w:rsid w:val="00D92141"/>
    <w:rsid w:val="00D92E3C"/>
    <w:rsid w:val="00D93209"/>
    <w:rsid w:val="00D9382D"/>
    <w:rsid w:val="00D93F23"/>
    <w:rsid w:val="00D94D7F"/>
    <w:rsid w:val="00D94D9C"/>
    <w:rsid w:val="00D9550E"/>
    <w:rsid w:val="00D97352"/>
    <w:rsid w:val="00D97D86"/>
    <w:rsid w:val="00D97EFF"/>
    <w:rsid w:val="00DA1D5F"/>
    <w:rsid w:val="00DA215E"/>
    <w:rsid w:val="00DA230E"/>
    <w:rsid w:val="00DA4161"/>
    <w:rsid w:val="00DA6D52"/>
    <w:rsid w:val="00DA761D"/>
    <w:rsid w:val="00DA7840"/>
    <w:rsid w:val="00DB0158"/>
    <w:rsid w:val="00DB12C5"/>
    <w:rsid w:val="00DB145A"/>
    <w:rsid w:val="00DB2D47"/>
    <w:rsid w:val="00DB3F74"/>
    <w:rsid w:val="00DB5ED8"/>
    <w:rsid w:val="00DB77C5"/>
    <w:rsid w:val="00DC02FC"/>
    <w:rsid w:val="00DC1275"/>
    <w:rsid w:val="00DC1665"/>
    <w:rsid w:val="00DC1B62"/>
    <w:rsid w:val="00DC2ACD"/>
    <w:rsid w:val="00DC32CE"/>
    <w:rsid w:val="00DC6319"/>
    <w:rsid w:val="00DC66E0"/>
    <w:rsid w:val="00DC7A4C"/>
    <w:rsid w:val="00DD2EAE"/>
    <w:rsid w:val="00DD39F7"/>
    <w:rsid w:val="00DD4EF8"/>
    <w:rsid w:val="00DD5444"/>
    <w:rsid w:val="00DD6EF6"/>
    <w:rsid w:val="00DE2492"/>
    <w:rsid w:val="00DE30E8"/>
    <w:rsid w:val="00DE750D"/>
    <w:rsid w:val="00DF1057"/>
    <w:rsid w:val="00DF2F0E"/>
    <w:rsid w:val="00DF4E86"/>
    <w:rsid w:val="00DF6CDF"/>
    <w:rsid w:val="00E02243"/>
    <w:rsid w:val="00E02601"/>
    <w:rsid w:val="00E046FD"/>
    <w:rsid w:val="00E0552A"/>
    <w:rsid w:val="00E0718B"/>
    <w:rsid w:val="00E106B9"/>
    <w:rsid w:val="00E10B63"/>
    <w:rsid w:val="00E10CA1"/>
    <w:rsid w:val="00E1112E"/>
    <w:rsid w:val="00E1157B"/>
    <w:rsid w:val="00E12DA8"/>
    <w:rsid w:val="00E13A4D"/>
    <w:rsid w:val="00E14D16"/>
    <w:rsid w:val="00E15444"/>
    <w:rsid w:val="00E156C3"/>
    <w:rsid w:val="00E1574A"/>
    <w:rsid w:val="00E15E7D"/>
    <w:rsid w:val="00E15FC8"/>
    <w:rsid w:val="00E16992"/>
    <w:rsid w:val="00E23043"/>
    <w:rsid w:val="00E262DD"/>
    <w:rsid w:val="00E2639C"/>
    <w:rsid w:val="00E3256C"/>
    <w:rsid w:val="00E32F52"/>
    <w:rsid w:val="00E34B1E"/>
    <w:rsid w:val="00E351BA"/>
    <w:rsid w:val="00E3631F"/>
    <w:rsid w:val="00E375E4"/>
    <w:rsid w:val="00E37DF0"/>
    <w:rsid w:val="00E40DD7"/>
    <w:rsid w:val="00E436CB"/>
    <w:rsid w:val="00E446C6"/>
    <w:rsid w:val="00E457F0"/>
    <w:rsid w:val="00E53D12"/>
    <w:rsid w:val="00E54EFF"/>
    <w:rsid w:val="00E56266"/>
    <w:rsid w:val="00E566F3"/>
    <w:rsid w:val="00E578CE"/>
    <w:rsid w:val="00E600B8"/>
    <w:rsid w:val="00E6238E"/>
    <w:rsid w:val="00E641A6"/>
    <w:rsid w:val="00E64CFA"/>
    <w:rsid w:val="00E65EA4"/>
    <w:rsid w:val="00E66D91"/>
    <w:rsid w:val="00E72028"/>
    <w:rsid w:val="00E72933"/>
    <w:rsid w:val="00E72E55"/>
    <w:rsid w:val="00E72F76"/>
    <w:rsid w:val="00E732A5"/>
    <w:rsid w:val="00E73BEA"/>
    <w:rsid w:val="00E76305"/>
    <w:rsid w:val="00E76C64"/>
    <w:rsid w:val="00E805D1"/>
    <w:rsid w:val="00E8186B"/>
    <w:rsid w:val="00E81C65"/>
    <w:rsid w:val="00E822FE"/>
    <w:rsid w:val="00E823D3"/>
    <w:rsid w:val="00E82B7A"/>
    <w:rsid w:val="00E833E0"/>
    <w:rsid w:val="00E837BD"/>
    <w:rsid w:val="00E84053"/>
    <w:rsid w:val="00E842B4"/>
    <w:rsid w:val="00E85A87"/>
    <w:rsid w:val="00E85E2A"/>
    <w:rsid w:val="00E866BE"/>
    <w:rsid w:val="00E86868"/>
    <w:rsid w:val="00E86BA6"/>
    <w:rsid w:val="00E90D9B"/>
    <w:rsid w:val="00E93087"/>
    <w:rsid w:val="00E959A8"/>
    <w:rsid w:val="00EA2371"/>
    <w:rsid w:val="00EA3B99"/>
    <w:rsid w:val="00EA3C47"/>
    <w:rsid w:val="00EA4B14"/>
    <w:rsid w:val="00EA5AF0"/>
    <w:rsid w:val="00EA69D6"/>
    <w:rsid w:val="00EA6CB9"/>
    <w:rsid w:val="00EB233A"/>
    <w:rsid w:val="00EB4BCB"/>
    <w:rsid w:val="00EB6019"/>
    <w:rsid w:val="00EB6373"/>
    <w:rsid w:val="00EB6C8F"/>
    <w:rsid w:val="00EC5928"/>
    <w:rsid w:val="00EC5BEE"/>
    <w:rsid w:val="00EC6204"/>
    <w:rsid w:val="00EC635E"/>
    <w:rsid w:val="00ED0900"/>
    <w:rsid w:val="00ED2220"/>
    <w:rsid w:val="00ED2ADB"/>
    <w:rsid w:val="00ED3C88"/>
    <w:rsid w:val="00ED40FF"/>
    <w:rsid w:val="00ED53DB"/>
    <w:rsid w:val="00ED59E0"/>
    <w:rsid w:val="00EE0153"/>
    <w:rsid w:val="00EE0447"/>
    <w:rsid w:val="00EE098C"/>
    <w:rsid w:val="00EE3902"/>
    <w:rsid w:val="00EE474A"/>
    <w:rsid w:val="00EE4BBE"/>
    <w:rsid w:val="00EE4D54"/>
    <w:rsid w:val="00EE639E"/>
    <w:rsid w:val="00EF120E"/>
    <w:rsid w:val="00EF5813"/>
    <w:rsid w:val="00EF5CD5"/>
    <w:rsid w:val="00EF5D96"/>
    <w:rsid w:val="00EF605D"/>
    <w:rsid w:val="00EF62C4"/>
    <w:rsid w:val="00EF6714"/>
    <w:rsid w:val="00EF6C6F"/>
    <w:rsid w:val="00EF6CC4"/>
    <w:rsid w:val="00F003DA"/>
    <w:rsid w:val="00F00D13"/>
    <w:rsid w:val="00F00D91"/>
    <w:rsid w:val="00F01AAB"/>
    <w:rsid w:val="00F02C3E"/>
    <w:rsid w:val="00F03C6B"/>
    <w:rsid w:val="00F040D6"/>
    <w:rsid w:val="00F04244"/>
    <w:rsid w:val="00F04BF4"/>
    <w:rsid w:val="00F05A74"/>
    <w:rsid w:val="00F07D50"/>
    <w:rsid w:val="00F10EE6"/>
    <w:rsid w:val="00F15ADB"/>
    <w:rsid w:val="00F16514"/>
    <w:rsid w:val="00F17018"/>
    <w:rsid w:val="00F206A0"/>
    <w:rsid w:val="00F24604"/>
    <w:rsid w:val="00F24E76"/>
    <w:rsid w:val="00F257AA"/>
    <w:rsid w:val="00F262C9"/>
    <w:rsid w:val="00F26487"/>
    <w:rsid w:val="00F2710C"/>
    <w:rsid w:val="00F302A3"/>
    <w:rsid w:val="00F3139E"/>
    <w:rsid w:val="00F31A7F"/>
    <w:rsid w:val="00F34252"/>
    <w:rsid w:val="00F347D0"/>
    <w:rsid w:val="00F35AD8"/>
    <w:rsid w:val="00F36E42"/>
    <w:rsid w:val="00F36FB9"/>
    <w:rsid w:val="00F3795F"/>
    <w:rsid w:val="00F42591"/>
    <w:rsid w:val="00F4346A"/>
    <w:rsid w:val="00F43779"/>
    <w:rsid w:val="00F4406E"/>
    <w:rsid w:val="00F442E4"/>
    <w:rsid w:val="00F448A9"/>
    <w:rsid w:val="00F455CA"/>
    <w:rsid w:val="00F470D0"/>
    <w:rsid w:val="00F504DF"/>
    <w:rsid w:val="00F52732"/>
    <w:rsid w:val="00F529A3"/>
    <w:rsid w:val="00F551D7"/>
    <w:rsid w:val="00F55E0A"/>
    <w:rsid w:val="00F55F68"/>
    <w:rsid w:val="00F602EC"/>
    <w:rsid w:val="00F6083A"/>
    <w:rsid w:val="00F60B33"/>
    <w:rsid w:val="00F61303"/>
    <w:rsid w:val="00F63013"/>
    <w:rsid w:val="00F65DA5"/>
    <w:rsid w:val="00F662E4"/>
    <w:rsid w:val="00F66793"/>
    <w:rsid w:val="00F678C9"/>
    <w:rsid w:val="00F67F27"/>
    <w:rsid w:val="00F67FFB"/>
    <w:rsid w:val="00F7039A"/>
    <w:rsid w:val="00F71818"/>
    <w:rsid w:val="00F718D5"/>
    <w:rsid w:val="00F71F1C"/>
    <w:rsid w:val="00F72E53"/>
    <w:rsid w:val="00F735D6"/>
    <w:rsid w:val="00F75326"/>
    <w:rsid w:val="00F775E4"/>
    <w:rsid w:val="00F77814"/>
    <w:rsid w:val="00F807EF"/>
    <w:rsid w:val="00F81F43"/>
    <w:rsid w:val="00F82DF8"/>
    <w:rsid w:val="00F8620B"/>
    <w:rsid w:val="00F9006B"/>
    <w:rsid w:val="00F9176A"/>
    <w:rsid w:val="00F921A1"/>
    <w:rsid w:val="00F92D72"/>
    <w:rsid w:val="00F930F4"/>
    <w:rsid w:val="00F9311E"/>
    <w:rsid w:val="00F936C2"/>
    <w:rsid w:val="00F953AC"/>
    <w:rsid w:val="00F95766"/>
    <w:rsid w:val="00F95877"/>
    <w:rsid w:val="00FA00D3"/>
    <w:rsid w:val="00FA12AF"/>
    <w:rsid w:val="00FA1304"/>
    <w:rsid w:val="00FA28F4"/>
    <w:rsid w:val="00FA35E3"/>
    <w:rsid w:val="00FA3E6B"/>
    <w:rsid w:val="00FA451C"/>
    <w:rsid w:val="00FA563B"/>
    <w:rsid w:val="00FA564F"/>
    <w:rsid w:val="00FA6134"/>
    <w:rsid w:val="00FA650D"/>
    <w:rsid w:val="00FA686F"/>
    <w:rsid w:val="00FB01CB"/>
    <w:rsid w:val="00FB0B5D"/>
    <w:rsid w:val="00FB17DC"/>
    <w:rsid w:val="00FB18F3"/>
    <w:rsid w:val="00FB2844"/>
    <w:rsid w:val="00FB3712"/>
    <w:rsid w:val="00FB5100"/>
    <w:rsid w:val="00FB6EAE"/>
    <w:rsid w:val="00FC148E"/>
    <w:rsid w:val="00FC34E4"/>
    <w:rsid w:val="00FC3625"/>
    <w:rsid w:val="00FC3BD1"/>
    <w:rsid w:val="00FC3C90"/>
    <w:rsid w:val="00FC4843"/>
    <w:rsid w:val="00FC50F9"/>
    <w:rsid w:val="00FC6A08"/>
    <w:rsid w:val="00FC7C3B"/>
    <w:rsid w:val="00FD1345"/>
    <w:rsid w:val="00FD32AA"/>
    <w:rsid w:val="00FD67B8"/>
    <w:rsid w:val="00FE2034"/>
    <w:rsid w:val="00FE20C6"/>
    <w:rsid w:val="00FE3403"/>
    <w:rsid w:val="00FE5587"/>
    <w:rsid w:val="00FE5E6D"/>
    <w:rsid w:val="00FE65A1"/>
    <w:rsid w:val="00FF16EE"/>
    <w:rsid w:val="00FF1FF9"/>
    <w:rsid w:val="00FF2D83"/>
    <w:rsid w:val="00FF3E20"/>
    <w:rsid w:val="00FF4539"/>
    <w:rsid w:val="00FF5191"/>
    <w:rsid w:val="00FF69C3"/>
    <w:rsid w:val="00FF7E31"/>
    <w:rsid w:val="010614C9"/>
    <w:rsid w:val="01423FB4"/>
    <w:rsid w:val="0537BC42"/>
    <w:rsid w:val="0C4209D5"/>
    <w:rsid w:val="0E41FE86"/>
    <w:rsid w:val="1152A107"/>
    <w:rsid w:val="1211144B"/>
    <w:rsid w:val="1BCF4D92"/>
    <w:rsid w:val="1CF147EB"/>
    <w:rsid w:val="1D0E235B"/>
    <w:rsid w:val="224B7EC3"/>
    <w:rsid w:val="246F2E99"/>
    <w:rsid w:val="2592F996"/>
    <w:rsid w:val="29AFB22A"/>
    <w:rsid w:val="29FA5FA1"/>
    <w:rsid w:val="2CC022A3"/>
    <w:rsid w:val="2F23393C"/>
    <w:rsid w:val="3194148D"/>
    <w:rsid w:val="34F28CAE"/>
    <w:rsid w:val="385E8061"/>
    <w:rsid w:val="39BE75ED"/>
    <w:rsid w:val="3A2F1391"/>
    <w:rsid w:val="3A3DB3BE"/>
    <w:rsid w:val="406E4CF2"/>
    <w:rsid w:val="44D8F06F"/>
    <w:rsid w:val="45E28BB9"/>
    <w:rsid w:val="48FEA739"/>
    <w:rsid w:val="49963981"/>
    <w:rsid w:val="4B905096"/>
    <w:rsid w:val="4BCF8F20"/>
    <w:rsid w:val="4DAFF225"/>
    <w:rsid w:val="51F41839"/>
    <w:rsid w:val="55C94989"/>
    <w:rsid w:val="566ACBD1"/>
    <w:rsid w:val="5A1B5170"/>
    <w:rsid w:val="5F87CB2D"/>
    <w:rsid w:val="64719732"/>
    <w:rsid w:val="67F52A43"/>
    <w:rsid w:val="68EFAAD1"/>
    <w:rsid w:val="6B7D78B8"/>
    <w:rsid w:val="6C11E2D7"/>
    <w:rsid w:val="6D0F3084"/>
    <w:rsid w:val="6D534824"/>
    <w:rsid w:val="70723C56"/>
    <w:rsid w:val="714072FA"/>
    <w:rsid w:val="73AF5669"/>
    <w:rsid w:val="73ED8E66"/>
    <w:rsid w:val="77AE9082"/>
    <w:rsid w:val="77E30AF4"/>
    <w:rsid w:val="799F31E3"/>
    <w:rsid w:val="7C5CBED8"/>
    <w:rsid w:val="7DAD9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7195"/>
  <w15:chartTrackingRefBased/>
  <w15:docId w15:val="{8F3D316E-A5C0-428B-A4A7-F3C4E804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F7"/>
    <w:pPr>
      <w:ind w:left="720"/>
      <w:contextualSpacing/>
    </w:pPr>
  </w:style>
  <w:style w:type="paragraph" w:styleId="FootnoteText">
    <w:name w:val="footnote text"/>
    <w:basedOn w:val="Normal"/>
    <w:link w:val="FootnoteTextChar"/>
    <w:uiPriority w:val="99"/>
    <w:unhideWhenUsed/>
    <w:rsid w:val="00C95EF7"/>
    <w:pPr>
      <w:spacing w:after="0" w:line="240" w:lineRule="auto"/>
    </w:pPr>
    <w:rPr>
      <w:sz w:val="20"/>
      <w:szCs w:val="20"/>
    </w:rPr>
  </w:style>
  <w:style w:type="character" w:customStyle="1" w:styleId="FootnoteTextChar">
    <w:name w:val="Footnote Text Char"/>
    <w:basedOn w:val="DefaultParagraphFont"/>
    <w:link w:val="FootnoteText"/>
    <w:uiPriority w:val="99"/>
    <w:rsid w:val="00C95EF7"/>
    <w:rPr>
      <w:sz w:val="20"/>
      <w:szCs w:val="20"/>
    </w:rPr>
  </w:style>
  <w:style w:type="character" w:styleId="FootnoteReference">
    <w:name w:val="footnote reference"/>
    <w:basedOn w:val="DefaultParagraphFont"/>
    <w:uiPriority w:val="99"/>
    <w:semiHidden/>
    <w:unhideWhenUsed/>
    <w:rsid w:val="00C95EF7"/>
    <w:rPr>
      <w:vertAlign w:val="superscript"/>
    </w:rPr>
  </w:style>
  <w:style w:type="paragraph" w:styleId="Header">
    <w:name w:val="header"/>
    <w:basedOn w:val="Normal"/>
    <w:link w:val="HeaderChar"/>
    <w:uiPriority w:val="99"/>
    <w:unhideWhenUsed/>
    <w:rsid w:val="00C9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F7"/>
  </w:style>
  <w:style w:type="paragraph" w:styleId="Footer">
    <w:name w:val="footer"/>
    <w:basedOn w:val="Normal"/>
    <w:link w:val="FooterChar"/>
    <w:uiPriority w:val="99"/>
    <w:unhideWhenUsed/>
    <w:rsid w:val="00C9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F7"/>
  </w:style>
  <w:style w:type="character" w:styleId="CommentReference">
    <w:name w:val="annotation reference"/>
    <w:basedOn w:val="DefaultParagraphFont"/>
    <w:uiPriority w:val="99"/>
    <w:semiHidden/>
    <w:unhideWhenUsed/>
    <w:rsid w:val="00797FD7"/>
    <w:rPr>
      <w:sz w:val="16"/>
      <w:szCs w:val="16"/>
    </w:rPr>
  </w:style>
  <w:style w:type="paragraph" w:styleId="CommentText">
    <w:name w:val="annotation text"/>
    <w:basedOn w:val="Normal"/>
    <w:link w:val="CommentTextChar"/>
    <w:uiPriority w:val="99"/>
    <w:semiHidden/>
    <w:unhideWhenUsed/>
    <w:rsid w:val="00797FD7"/>
    <w:pPr>
      <w:spacing w:line="240" w:lineRule="auto"/>
    </w:pPr>
    <w:rPr>
      <w:sz w:val="20"/>
      <w:szCs w:val="20"/>
    </w:rPr>
  </w:style>
  <w:style w:type="character" w:customStyle="1" w:styleId="CommentTextChar">
    <w:name w:val="Comment Text Char"/>
    <w:basedOn w:val="DefaultParagraphFont"/>
    <w:link w:val="CommentText"/>
    <w:uiPriority w:val="99"/>
    <w:semiHidden/>
    <w:rsid w:val="00797FD7"/>
    <w:rPr>
      <w:sz w:val="20"/>
      <w:szCs w:val="20"/>
    </w:rPr>
  </w:style>
  <w:style w:type="paragraph" w:styleId="CommentSubject">
    <w:name w:val="annotation subject"/>
    <w:basedOn w:val="CommentText"/>
    <w:next w:val="CommentText"/>
    <w:link w:val="CommentSubjectChar"/>
    <w:uiPriority w:val="99"/>
    <w:semiHidden/>
    <w:unhideWhenUsed/>
    <w:rsid w:val="00797FD7"/>
    <w:rPr>
      <w:b/>
      <w:bCs/>
    </w:rPr>
  </w:style>
  <w:style w:type="character" w:customStyle="1" w:styleId="CommentSubjectChar">
    <w:name w:val="Comment Subject Char"/>
    <w:basedOn w:val="CommentTextChar"/>
    <w:link w:val="CommentSubject"/>
    <w:uiPriority w:val="99"/>
    <w:semiHidden/>
    <w:rsid w:val="00797FD7"/>
    <w:rPr>
      <w:b/>
      <w:bCs/>
      <w:sz w:val="20"/>
      <w:szCs w:val="20"/>
    </w:rPr>
  </w:style>
  <w:style w:type="character" w:styleId="Hyperlink">
    <w:name w:val="Hyperlink"/>
    <w:basedOn w:val="DefaultParagraphFont"/>
    <w:uiPriority w:val="99"/>
    <w:unhideWhenUsed/>
    <w:rsid w:val="0002552E"/>
    <w:rPr>
      <w:color w:val="0563C1" w:themeColor="hyperlink"/>
      <w:u w:val="single"/>
    </w:rPr>
  </w:style>
  <w:style w:type="character" w:styleId="UnresolvedMention">
    <w:name w:val="Unresolved Mention"/>
    <w:basedOn w:val="DefaultParagraphFont"/>
    <w:uiPriority w:val="99"/>
    <w:semiHidden/>
    <w:unhideWhenUsed/>
    <w:rsid w:val="0002552E"/>
    <w:rPr>
      <w:color w:val="605E5C"/>
      <w:shd w:val="clear" w:color="auto" w:fill="E1DFDD"/>
    </w:rPr>
  </w:style>
  <w:style w:type="character" w:styleId="FollowedHyperlink">
    <w:name w:val="FollowedHyperlink"/>
    <w:basedOn w:val="DefaultParagraphFont"/>
    <w:uiPriority w:val="99"/>
    <w:semiHidden/>
    <w:unhideWhenUsed/>
    <w:rsid w:val="0002552E"/>
    <w:rPr>
      <w:color w:val="954F72" w:themeColor="followedHyperlink"/>
      <w:u w:val="single"/>
    </w:rPr>
  </w:style>
  <w:style w:type="table" w:styleId="TableGrid">
    <w:name w:val="Table Grid"/>
    <w:basedOn w:val="TableNormal"/>
    <w:uiPriority w:val="39"/>
    <w:rsid w:val="003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270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D15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7548">
      <w:bodyDiv w:val="1"/>
      <w:marLeft w:val="0"/>
      <w:marRight w:val="0"/>
      <w:marTop w:val="0"/>
      <w:marBottom w:val="0"/>
      <w:divBdr>
        <w:top w:val="none" w:sz="0" w:space="0" w:color="auto"/>
        <w:left w:val="none" w:sz="0" w:space="0" w:color="auto"/>
        <w:bottom w:val="none" w:sz="0" w:space="0" w:color="auto"/>
        <w:right w:val="none" w:sz="0" w:space="0" w:color="auto"/>
      </w:divBdr>
    </w:div>
    <w:div w:id="616565800">
      <w:bodyDiv w:val="1"/>
      <w:marLeft w:val="0"/>
      <w:marRight w:val="0"/>
      <w:marTop w:val="0"/>
      <w:marBottom w:val="0"/>
      <w:divBdr>
        <w:top w:val="none" w:sz="0" w:space="0" w:color="auto"/>
        <w:left w:val="none" w:sz="0" w:space="0" w:color="auto"/>
        <w:bottom w:val="none" w:sz="0" w:space="0" w:color="auto"/>
        <w:right w:val="none" w:sz="0" w:space="0" w:color="auto"/>
      </w:divBdr>
    </w:div>
    <w:div w:id="833912732">
      <w:bodyDiv w:val="1"/>
      <w:marLeft w:val="0"/>
      <w:marRight w:val="0"/>
      <w:marTop w:val="0"/>
      <w:marBottom w:val="0"/>
      <w:divBdr>
        <w:top w:val="none" w:sz="0" w:space="0" w:color="auto"/>
        <w:left w:val="none" w:sz="0" w:space="0" w:color="auto"/>
        <w:bottom w:val="none" w:sz="0" w:space="0" w:color="auto"/>
        <w:right w:val="none" w:sz="0" w:space="0" w:color="auto"/>
      </w:divBdr>
    </w:div>
    <w:div w:id="2095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mages.federalregister.gov/EC21OC91.002/large.png" TargetMode="External"/><Relationship Id="rId7" Type="http://schemas.openxmlformats.org/officeDocument/2006/relationships/settings" Target="settings.xml"/><Relationship Id="rId12" Type="http://schemas.openxmlformats.org/officeDocument/2006/relationships/hyperlink" Target="https://www.ecfr.gov/current/title-2/subtitle-A/chapter-II/part-200/subpart-D/subject-group-ECFR45ddd4419ad436d/section-200.327" TargetMode="External"/><Relationship Id="rId17" Type="http://schemas.openxmlformats.org/officeDocument/2006/relationships/hyperlink" Target="https://www.epa.gov/smm/comprehensive-procurement-guideline-cpg-progra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toc=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CREWS@SOG.UNC.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6" Type="http://schemas.openxmlformats.org/officeDocument/2006/relationships/hyperlink" Target="https://uscode.house.gov/view.xhtml?hl=false&amp;edition=prelim&amp;req=granuleid%3AUSC-prelim-title40-section3146&amp;f=treesort&amp;num=0&amp;saved=%7CKHRpdGxlOjQwIHNlY3Rpb246MzE0MSBlZGl0aW9uOnByZWxpbSkgT1IgKGdyYW51bGVpZDpVU0MtcHJlbGltLXRpdGxlNDAtc2VjdGlvbjMxNDEp%7CdHJlZXNvcnQ%3D%7C%7C0%7Cfalse%7Cprelim" TargetMode="External"/><Relationship Id="rId21" Type="http://schemas.openxmlformats.org/officeDocument/2006/relationships/hyperlink" Target="https://www.ecfr.gov/current/title-2/subtitle-A/chapter-II/part-200/subpart-A/subject-group-ECFR2a6a0087862fd2c/section-200.1" TargetMode="External"/><Relationship Id="rId42" Type="http://schemas.openxmlformats.org/officeDocument/2006/relationships/hyperlink" Target="https://www.govinfo.gov/content/pkg/USCODE-2011-title40/pdf/USCODE-2011-title40-subtitleII-partA-chap37-sec3701.pdf" TargetMode="External"/><Relationship Id="rId47" Type="http://schemas.openxmlformats.org/officeDocument/2006/relationships/hyperlink" Target="https://www.transit.dot.gov/sites/fta.dot.gov/files/docs/funding/procurement/8286/fta-best-practices-procurement-and-lessons-learned-manual-2016.pdf" TargetMode="External"/><Relationship Id="rId63" Type="http://schemas.openxmlformats.org/officeDocument/2006/relationships/hyperlink" Target="https://www.ecfr.gov/current/title-31/subtitle-A/part-19/subpart-B/section-19.220" TargetMode="External"/><Relationship Id="rId68" Type="http://schemas.openxmlformats.org/officeDocument/2006/relationships/hyperlink" Target="https://www.ecfr.gov/current/title-31/subtitle-A/part-21/subpart-A/section-21.100" TargetMode="External"/><Relationship Id="rId84" Type="http://schemas.openxmlformats.org/officeDocument/2006/relationships/hyperlink" Target="https://www.ecfr.gov/current/title-2/subtitle-A/chapter-II/part-200/subpart-D/subject-group-ECFR45ddd4419ad436d/section-200.321" TargetMode="External"/><Relationship Id="rId89" Type="http://schemas.openxmlformats.org/officeDocument/2006/relationships/hyperlink" Target="https://www.ecfr.gov/current/title-13/chapter-I/part-124/subpart-A/subject-group-ECFR4ef1291a4a984ab/section-124.105" TargetMode="External"/><Relationship Id="rId16" Type="http://schemas.openxmlformats.org/officeDocument/2006/relationships/hyperlink" Target="https://www.cfo.gov/assets/files/2021-26238%20Federal%20Register%20Notice%20-%202021%20Compliance%20Supplement%20Addendum%201%2012%2003%2021.pdf" TargetMode="External"/><Relationship Id="rId11" Type="http://schemas.openxmlformats.org/officeDocument/2006/relationships/hyperlink" Target="https://www.ecfr.gov/current/title-2/subtitle-A/chapter-II/part-200/subpart-D/subject-group-ECFR031321e29ac5bbd/section-200.332" TargetMode="External"/><Relationship Id="rId32" Type="http://schemas.openxmlformats.org/officeDocument/2006/relationships/hyperlink" Target="https://www.congress.gov/111/plaws/publ5/PLAW-111publ5.pdf" TargetMode="External"/><Relationship Id="rId37" Type="http://schemas.openxmlformats.org/officeDocument/2006/relationships/hyperlink" Target="https://www.dol.gov/agencies/whd/field-operations-handbook/Chapter-15" TargetMode="External"/><Relationship Id="rId53" Type="http://schemas.openxmlformats.org/officeDocument/2006/relationships/hyperlink" Target="https://www.ecfr.gov/current/title-2/subtitle-A/chapter-I/part-180/subpart-B" TargetMode="External"/><Relationship Id="rId58" Type="http://schemas.openxmlformats.org/officeDocument/2006/relationships/hyperlink" Target="https://www.ecfr.gov/current/title-31/subtitle-A/part-19/subpart-C/subject-group-ECFR17b3886c0d43454/section-19.300" TargetMode="External"/><Relationship Id="rId74" Type="http://schemas.openxmlformats.org/officeDocument/2006/relationships/hyperlink" Target="https://www.congress.gov/115/plaws/publ232/PLAW-115publ232.pdf" TargetMode="External"/><Relationship Id="rId79" Type="http://schemas.openxmlformats.org/officeDocument/2006/relationships/hyperlink" Target="https://www.ecfr.gov/current/title-2/subtitle-A/chapter-II/part-200/subpart-B/section-200.101" TargetMode="External"/><Relationship Id="rId5" Type="http://schemas.openxmlformats.org/officeDocument/2006/relationships/hyperlink" Target="https://www.ecfr.gov/current/title-2/subtitle-A/chapter-II/part-200/appendix-Appendix%20II%20to%20Part%20200" TargetMode="External"/><Relationship Id="rId90" Type="http://schemas.openxmlformats.org/officeDocument/2006/relationships/hyperlink" Target="https://www.ecfr.gov/current/title-2/subtitle-A/chapter-II/part-200/subpart-D/subject-group-ECFR4acc10e7e3b676f/section-200.334" TargetMode="External"/><Relationship Id="rId95" Type="http://schemas.openxmlformats.org/officeDocument/2006/relationships/hyperlink" Target="https://www.govinfo.gov/content/pkg/USCODE-2008-title42/pdf/USCODE-2008-title42-chap21-subchapV.pdf" TargetMode="External"/><Relationship Id="rId22" Type="http://schemas.openxmlformats.org/officeDocument/2006/relationships/hyperlink" Target="https://www.govinfo.gov/content/pkg/FR-2020-08-13/pdf/2020-17468.pdf" TargetMode="External"/><Relationship Id="rId27" Type="http://schemas.openxmlformats.org/officeDocument/2006/relationships/hyperlink" Target="https://www.ecfr.gov/current/title-29/subtitle-A/part-5" TargetMode="External"/><Relationship Id="rId43" Type="http://schemas.openxmlformats.org/officeDocument/2006/relationships/hyperlink" Target="https://www.dol.gov/agencies/whd/field-operations-handbook/Chapter-15" TargetMode="External"/><Relationship Id="rId48" Type="http://schemas.openxmlformats.org/officeDocument/2006/relationships/hyperlink" Target="https://www.ecfr.gov/current/title-2/subtitle-A/chapter-II/part-200/subpart-D/subject-group-ECFR8feb98c2e3e5ad2/section-200.315" TargetMode="External"/><Relationship Id="rId64" Type="http://schemas.openxmlformats.org/officeDocument/2006/relationships/hyperlink" Target="https://home.treasury.gov/system/files/136/NEU_Award_Terms_and_Conditions.pdf" TargetMode="External"/><Relationship Id="rId69" Type="http://schemas.openxmlformats.org/officeDocument/2006/relationships/hyperlink" Target="https://www.govinfo.gov/content/pkg/USCODE-2010-title31/pdf/USCODE-2010-title31-subtitleII-chap13-subchapIII-sec1352.pdf" TargetMode="External"/><Relationship Id="rId80" Type="http://schemas.openxmlformats.org/officeDocument/2006/relationships/hyperlink" Target="https://www.ecfr.gov/current/title-2/subtitle-A/chapter-II/part-200/subpart-D/subject-group-ECFR45ddd4419ad436d/section-200.322" TargetMode="External"/><Relationship Id="rId85" Type="http://schemas.openxmlformats.org/officeDocument/2006/relationships/hyperlink" Target="https://www.fema.gov/sites/default/files/2020-07/fema_procurement-disaster-assistance-PDAT_field-manual.pdf" TargetMode="External"/><Relationship Id="rId3" Type="http://schemas.openxmlformats.org/officeDocument/2006/relationships/hyperlink" Target="https://home.treasury.gov/system/files/136/SLFRF-Compliance-and-Reporting-Guidance.pdf" TargetMode="External"/><Relationship Id="rId12" Type="http://schemas.openxmlformats.org/officeDocument/2006/relationships/hyperlink" Target="https://www.transit.dot.gov/sites/fta.dot.gov/files/docs/funding/procurement/8286/fta-best-practices-procurement-and-lessons-learned-manual-2016.pdf" TargetMode="External"/><Relationship Id="rId17" Type="http://schemas.openxmlformats.org/officeDocument/2006/relationships/hyperlink" Target="https://adminliveunc.sharepoint.com/sites/UGContractReview/Shared%20Documents/General/,https:/www.cfo.gov/assets/files/Treasury%20SLFRF%20Compliance%20Supplement%20Addendum%201%20PDF.pdf" TargetMode="External"/><Relationship Id="rId25" Type="http://schemas.openxmlformats.org/officeDocument/2006/relationships/hyperlink" Target="https://uscode.house.gov/view.xhtml?req=(title:40%20section:3141%20edition:prelim)%20OR%20(granuleid:USC-prelim-title40-section3141)&amp;f=treesort&amp;edition=prelim&amp;num=0&amp;jumpTo=true" TargetMode="External"/><Relationship Id="rId33" Type="http://schemas.openxmlformats.org/officeDocument/2006/relationships/hyperlink" Target="https://www.govinfo.gov/content/pkg/USCODE-2010-title18/pdf/USCODE-2010-title18-partI-chap41-sec874.pdf" TargetMode="External"/><Relationship Id="rId38" Type="http://schemas.openxmlformats.org/officeDocument/2006/relationships/hyperlink" Target="https://www.fema.gov/sites/default/files/documents/fema_contract-provisions-guide_6-14-2021.pdf" TargetMode="External"/><Relationship Id="rId46" Type="http://schemas.openxmlformats.org/officeDocument/2006/relationships/hyperlink" Target="https://www.ecfr.gov/current/title-37/chapter-IV/part-401?toc=1" TargetMode="External"/><Relationship Id="rId59" Type="http://schemas.openxmlformats.org/officeDocument/2006/relationships/hyperlink" Target="https://sam.gov/content/home" TargetMode="External"/><Relationship Id="rId67" Type="http://schemas.openxmlformats.org/officeDocument/2006/relationships/hyperlink" Target="https://www.govinfo.gov/content/pkg/USCODE-2010-title31/pdf/USCODE-2010-title31-subtitleII-chap13-subchapIII-sec1352.pdf" TargetMode="External"/><Relationship Id="rId20" Type="http://schemas.openxmlformats.org/officeDocument/2006/relationships/hyperlink" Target="https://www.cfo.gov/assets/files/2CFR-FrequentlyAskedQuestions_2021050321.pdf" TargetMode="External"/><Relationship Id="rId41" Type="http://schemas.openxmlformats.org/officeDocument/2006/relationships/hyperlink" Target="https://www.govinfo.gov/content/pkg/FR-2022-01-27/pdf/2022-00292.pdf" TargetMode="External"/><Relationship Id="rId54" Type="http://schemas.openxmlformats.org/officeDocument/2006/relationships/hyperlink" Target="https://www.ecfr.gov/current/title-31/subtitle-A/part-19" TargetMode="External"/><Relationship Id="rId62" Type="http://schemas.openxmlformats.org/officeDocument/2006/relationships/hyperlink" Target="https://www.ecfr.gov/current/title-2/subtitle-B/chapter-III/part-376/subpart-B/section-376.220" TargetMode="External"/><Relationship Id="rId70" Type="http://schemas.openxmlformats.org/officeDocument/2006/relationships/hyperlink" Target="https://www.ecfr.gov/current/title-31/subtitle-A/part-21/subpart-A/section-21.100" TargetMode="External"/><Relationship Id="rId75" Type="http://schemas.openxmlformats.org/officeDocument/2006/relationships/hyperlink" Target="https://www.ecfr.gov/current/title-2/subtitle-A/chapter-II/part-200/subpart-C/section-200.216" TargetMode="External"/><Relationship Id="rId83" Type="http://schemas.openxmlformats.org/officeDocument/2006/relationships/hyperlink" Target="https://www.ecfr.gov/current/title-2/subtitle-A/chapter-II/part-200/subpart-D?toc=1" TargetMode="External"/><Relationship Id="rId88" Type="http://schemas.openxmlformats.org/officeDocument/2006/relationships/hyperlink" Target="https://www.ecfr.gov/current/title-13/chapter-I/part-124/subpart-A/subject-group-ECFR4ef1291a4a984ab/section-124.104" TargetMode="External"/><Relationship Id="rId91" Type="http://schemas.openxmlformats.org/officeDocument/2006/relationships/hyperlink" Target="https://www.ecfr.gov/current/title-2/subtitle-A/chapter-II/part-200/subpart-D/subject-group-ECFR4acc10e7e3b676f/section-200.334" TargetMode="External"/><Relationship Id="rId96" Type="http://schemas.openxmlformats.org/officeDocument/2006/relationships/hyperlink" Target="https://www.ecfr.gov/current/title-31/subtitle-A/part-22/section-22.5" TargetMode="External"/><Relationship Id="rId1" Type="http://schemas.openxmlformats.org/officeDocument/2006/relationships/hyperlink" Target="https://www.govinfo.gov/content/pkg/FR-2021-05-17/pdf/2021-10283.pdf" TargetMode="External"/><Relationship Id="rId6" Type="http://schemas.openxmlformats.org/officeDocument/2006/relationships/hyperlink" Target="https://home.treasury.gov/system/files/136/NEU_Award_Terms_and_Conditions.pdf" TargetMode="External"/><Relationship Id="rId15" Type="http://schemas.openxmlformats.org/officeDocument/2006/relationships/hyperlink" Target="https://www.transit.dot.gov/funding/procurement/third-party-procurement/contract-clauses" TargetMode="External"/><Relationship Id="rId23" Type="http://schemas.openxmlformats.org/officeDocument/2006/relationships/hyperlink" Target="https://www.ecfr.gov/current/title-41/subtitle-B/chapter-60/part-60-1/subpart-A/section-60-1.4" TargetMode="External"/><Relationship Id="rId28" Type="http://schemas.openxmlformats.org/officeDocument/2006/relationships/hyperlink" Target="https://uscode.house.gov/view.xhtml?path=/prelim@title40/subtitle2/partA/chapter31/subchapter4&amp;edition=prelim" TargetMode="External"/><Relationship Id="rId36" Type="http://schemas.openxmlformats.org/officeDocument/2006/relationships/hyperlink" Target="https://www.ecfr.gov/current/title-29/subtitle-A/part-3/section-3.1" TargetMode="External"/><Relationship Id="rId49" Type="http://schemas.openxmlformats.org/officeDocument/2006/relationships/hyperlink" Target="https://home.treasury.gov/system/files/136/NEU_Award_Terms_and_Conditions.pdf" TargetMode="External"/><Relationship Id="rId57" Type="http://schemas.openxmlformats.org/officeDocument/2006/relationships/hyperlink" Target="https://www.ecfr.gov/current/title-2/subtitle-A/chapter-I/part-180/subpart-C/section-180.300" TargetMode="External"/><Relationship Id="rId10" Type="http://schemas.openxmlformats.org/officeDocument/2006/relationships/hyperlink" Target="https://www.ecfr.gov/current/title-2/subtitle-A/chapter-II/part-200/subpart-D/subject-group-ECFR031321e29ac5bbd/section-200.331" TargetMode="External"/><Relationship Id="rId31" Type="http://schemas.openxmlformats.org/officeDocument/2006/relationships/hyperlink" Target="https://www.govinfo.gov/content/pkg/FR-2022-01-27/pdf/2022-00292.pdf" TargetMode="External"/><Relationship Id="rId44" Type="http://schemas.openxmlformats.org/officeDocument/2006/relationships/hyperlink" Target="https://www.govinfo.gov/content/pkg/USCODE-2011-title40/pdf/USCODE-2011-title40-subtitleII-partA-chap37-sec3701.pdf" TargetMode="External"/><Relationship Id="rId52" Type="http://schemas.openxmlformats.org/officeDocument/2006/relationships/hyperlink" Target="https://www.ecfr.gov/current/title-31/subtitle-A/part-19" TargetMode="External"/><Relationship Id="rId60" Type="http://schemas.openxmlformats.org/officeDocument/2006/relationships/hyperlink" Target="https://www.ecfr.gov/current/title-2/subtitle-A/chapter-II/part-200/subpart-D/subject-group-ECFR45ddd4419ad436d/section-200.318" TargetMode="External"/><Relationship Id="rId65" Type="http://schemas.openxmlformats.org/officeDocument/2006/relationships/hyperlink" Target="https://www.ecfr.gov/current/title-31/subtitle-A/part-21" TargetMode="External"/><Relationship Id="rId73" Type="http://schemas.openxmlformats.org/officeDocument/2006/relationships/hyperlink" Target="https://www.govinfo.gov/content/pkg/FR-2020-08-13/pdf/2020-17468.pdf" TargetMode="External"/><Relationship Id="rId78" Type="http://schemas.openxmlformats.org/officeDocument/2006/relationships/hyperlink" Target="https://www.ecfr.gov/current/title-2/subtitle-A/chapter-II/part-200/subpart-D/subject-group-ECFR45ddd4419ad436d/section-200.322" TargetMode="External"/><Relationship Id="rId81" Type="http://schemas.openxmlformats.org/officeDocument/2006/relationships/hyperlink" Target="https://www.ecfr.gov/current/title-49/subtitle-B/chapter-VI/part-661/section-661.5" TargetMode="External"/><Relationship Id="rId86" Type="http://schemas.openxmlformats.org/officeDocument/2006/relationships/hyperlink" Target="https://www.ncleg.net/enactedlegislation/statutes/html/bysection/chapter_143/gs_143-128.4.html" TargetMode="External"/><Relationship Id="rId94" Type="http://schemas.openxmlformats.org/officeDocument/2006/relationships/hyperlink" Target="https://home.treasury.gov/system/files/136/Title_VI_Assurances.pdf" TargetMode="External"/><Relationship Id="rId4" Type="http://schemas.openxmlformats.org/officeDocument/2006/relationships/hyperlink" Target="https://www.ecfr.gov/current/title-2/subtitle-A/chapter-II/part-200/subpart-D/subject-group-ECFR45ddd4419ad436d/section-200.327" TargetMode="External"/><Relationship Id="rId9" Type="http://schemas.openxmlformats.org/officeDocument/2006/relationships/hyperlink" Target="https://canons.sog.unc.edu/american-rescue-plan-act-of-2021-local-government-authority-to-expend-their-allocations/" TargetMode="External"/><Relationship Id="rId13" Type="http://schemas.openxmlformats.org/officeDocument/2006/relationships/hyperlink" Target="https://www.ecfr.gov/current/title-41/subtitle-B/chapter-60/part-60-1/subpart-A" TargetMode="External"/><Relationship Id="rId18" Type="http://schemas.openxmlformats.org/officeDocument/2006/relationships/hyperlink" Target="https://www.ecfr.gov/current/title-2/subtitle-A/chapter-II/part-200/subpart-D/subject-group-ECFR45ddd4419ad436d/section-200.320" TargetMode="External"/><Relationship Id="rId39" Type="http://schemas.openxmlformats.org/officeDocument/2006/relationships/hyperlink" Target="https://uscode.house.gov/view.xhtml?req=granuleid%3AUSC-prelim-title40-chapter37&amp;edition=prelim" TargetMode="External"/><Relationship Id="rId34" Type="http://schemas.openxmlformats.org/officeDocument/2006/relationships/hyperlink" Target="https://www.govinfo.gov/content/pkg/USCODE-2011-title40/pdf/USCODE-2011-title40-subtitleII-partA-chap31-subchapIV-sec3145.pdf" TargetMode="External"/><Relationship Id="rId50" Type="http://schemas.openxmlformats.org/officeDocument/2006/relationships/hyperlink" Target="https://www.ecfr.gov/current/title-2/subtitle-A/chapter-I/part-180/subpart-B" TargetMode="External"/><Relationship Id="rId55" Type="http://schemas.openxmlformats.org/officeDocument/2006/relationships/hyperlink" Target="https://www.ecfr.gov/current/title-2/subtitle-A/chapter-I/part-180/subpart-B/section-180.220" TargetMode="External"/><Relationship Id="rId76" Type="http://schemas.openxmlformats.org/officeDocument/2006/relationships/hyperlink" Target="https://www.fema.gov/sites/default/files/documents/fema_prohibitions-expending-fema-award-funds-covered-telecommunications-equipment-services.pdf" TargetMode="External"/><Relationship Id="rId97" Type="http://schemas.openxmlformats.org/officeDocument/2006/relationships/hyperlink" Target="https://www.ecfr.gov/current/title-31/subtitle-A/part-22/section-22.4" TargetMode="External"/><Relationship Id="rId7" Type="http://schemas.openxmlformats.org/officeDocument/2006/relationships/hyperlink" Target="https://home.treasury.gov/system/files/136/Financial-Assistance-Agreement-States-and-Territories.pdf" TargetMode="External"/><Relationship Id="rId71" Type="http://schemas.openxmlformats.org/officeDocument/2006/relationships/hyperlink" Target="https://www.govinfo.gov/content/pkg/USCODE-2010-title31/pdf/USCODE-2010-title31-subtitleII-chap13-subchapIII-sec1352.pdf" TargetMode="External"/><Relationship Id="rId92" Type="http://schemas.openxmlformats.org/officeDocument/2006/relationships/hyperlink" Target="https://www.ecfr.gov/current/title-2/subtitle-A/chapter-II/part-200/subpart-D/subject-group-ECFR45ddd4419ad436d/section-200.318" TargetMode="External"/><Relationship Id="rId2" Type="http://schemas.openxmlformats.org/officeDocument/2006/relationships/hyperlink" Target="https://www.govinfo.gov/content/pkg/FR-2022-01-27/pdf/2022-00292.pdf" TargetMode="External"/><Relationship Id="rId29" Type="http://schemas.openxmlformats.org/officeDocument/2006/relationships/hyperlink" Target="https://www.dol.gov/agencies/whd/field-operations-handbook/Chapter-15" TargetMode="External"/><Relationship Id="rId24" Type="http://schemas.openxmlformats.org/officeDocument/2006/relationships/hyperlink" Target="https://www.ecfr.gov/current/title-41/subtitle-B/chapter-60/part-60-1/subpart-A/section-60-1.3" TargetMode="External"/><Relationship Id="rId40" Type="http://schemas.openxmlformats.org/officeDocument/2006/relationships/hyperlink" Target="https://www.ecfr.gov/current/title-29/subtitle-A/part-5" TargetMode="External"/><Relationship Id="rId45" Type="http://schemas.openxmlformats.org/officeDocument/2006/relationships/hyperlink" Target="https://www.ecfr.gov/current/title-37/chapter-IV/part-401/section-401.2" TargetMode="External"/><Relationship Id="rId66" Type="http://schemas.openxmlformats.org/officeDocument/2006/relationships/hyperlink" Target="https://www.govinfo.gov/content/pkg/USCODE-2010-title31/pdf/USCODE-2010-title31-subtitleII-chap13-subchapIII-sec1352.pdf" TargetMode="External"/><Relationship Id="rId87" Type="http://schemas.openxmlformats.org/officeDocument/2006/relationships/hyperlink" Target="https://www.ecfr.gov/current/title-13/chapter-I/part-124/subpart-A/subject-group-ECFR4ef1291a4a984ab/section-124.103" TargetMode="External"/><Relationship Id="rId61" Type="http://schemas.openxmlformats.org/officeDocument/2006/relationships/hyperlink" Target="https://www.ecfr.gov/current/title-2/subtitle-A/chapter-I/part-180/subpart-B/section-180.220" TargetMode="External"/><Relationship Id="rId82" Type="http://schemas.openxmlformats.org/officeDocument/2006/relationships/hyperlink" Target="https://www.ecfr.gov/current/title-2/subtitle-A/chapter-II/part-200/subpart-D/subject-group-ECFR45ddd4419ad436d/section-200.321" TargetMode="External"/><Relationship Id="rId19" Type="http://schemas.openxmlformats.org/officeDocument/2006/relationships/hyperlink" Target="https://canons.sog.unc.edu/2021/04/raising-the-federal-micro-purchase-threshold-self-certification-for-units-of-local-government-in-north-carolina/" TargetMode="External"/><Relationship Id="rId14" Type="http://schemas.openxmlformats.org/officeDocument/2006/relationships/hyperlink" Target="https://www.ecfr.gov/current/title-41/subtitle-B/chapter-60/part-60-4/section-60-4.1" TargetMode="External"/><Relationship Id="rId30" Type="http://schemas.openxmlformats.org/officeDocument/2006/relationships/hyperlink" Target="https://home.treasury.gov/system/files/136/SLFRPFAQ.pdf" TargetMode="External"/><Relationship Id="rId35" Type="http://schemas.openxmlformats.org/officeDocument/2006/relationships/hyperlink" Target="https://www.ecfr.gov/current/title-29/subtitle-A/part-3" TargetMode="External"/><Relationship Id="rId56" Type="http://schemas.openxmlformats.org/officeDocument/2006/relationships/hyperlink" Target="https://www.ecfr.gov/current/title-31/subtitle-A/part-19/subpart-B/section-19.220" TargetMode="External"/><Relationship Id="rId77" Type="http://schemas.openxmlformats.org/officeDocument/2006/relationships/hyperlink" Target="https://www.ecfr.gov/current/title-48/chapter-1/subchapter-H/part-52/subpart-52.2/section-52.204-25" TargetMode="External"/><Relationship Id="rId8" Type="http://schemas.openxmlformats.org/officeDocument/2006/relationships/hyperlink" Target="https://www.ecfr.gov/current/title-2/subtitle-A/chapter-II/part-200/subpart-A/subject-group-ECFR2a6a0087862fd2c/section-200.1" TargetMode="External"/><Relationship Id="rId51" Type="http://schemas.openxmlformats.org/officeDocument/2006/relationships/hyperlink" Target="https://www.ecfr.gov/current/title-2/subtitle-A/chapter-I/part-180/subpart-B" TargetMode="External"/><Relationship Id="rId72" Type="http://schemas.openxmlformats.org/officeDocument/2006/relationships/hyperlink" Target="https://www.ecfr.gov/current/title-31/subtitle-A/part-21/subpart-A/section-21.100" TargetMode="External"/><Relationship Id="rId93" Type="http://schemas.openxmlformats.org/officeDocument/2006/relationships/hyperlink" Target="https://www.ecfr.gov/current/title-2/subtitle-A/chapter-II/part-200/subpart-D/subject-group-ECFR45ddd4419ad436d/section-200.318" TargetMode="External"/><Relationship Id="rId98" Type="http://schemas.openxmlformats.org/officeDocument/2006/relationships/hyperlink" Target="https://www.justice.gov/crt/fcs/T6manua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B4F5D-2DAB-401A-9E09-50B2CB903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CBD19-1E32-4058-826E-D3BADB278DC0}">
  <ds:schemaRefs>
    <ds:schemaRef ds:uri="http://schemas.microsoft.com/sharepoint/v3/contenttype/forms"/>
  </ds:schemaRefs>
</ds:datastoreItem>
</file>

<file path=customXml/itemProps3.xml><?xml version="1.0" encoding="utf-8"?>
<ds:datastoreItem xmlns:ds="http://schemas.openxmlformats.org/officeDocument/2006/customXml" ds:itemID="{3B223A7F-B721-4C4F-8A48-EC3D9E93EAA5}">
  <ds:schemaRefs>
    <ds:schemaRef ds:uri="http://schemas.openxmlformats.org/officeDocument/2006/bibliography"/>
  </ds:schemaRefs>
</ds:datastoreItem>
</file>

<file path=customXml/itemProps4.xml><?xml version="1.0" encoding="utf-8"?>
<ds:datastoreItem xmlns:ds="http://schemas.openxmlformats.org/officeDocument/2006/customXml" ds:itemID="{EB9B18AB-612F-46D5-8679-98CB5BB7E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9280</Words>
  <Characters>52900</Characters>
  <Application>Microsoft Office Word</Application>
  <DocSecurity>0</DocSecurity>
  <Lines>440</Lines>
  <Paragraphs>124</Paragraphs>
  <ScaleCrop>false</ScaleCrop>
  <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Connor H.</dc:creator>
  <cp:keywords/>
  <dc:description/>
  <cp:lastModifiedBy>Badgett, Rebecca</cp:lastModifiedBy>
  <cp:revision>2</cp:revision>
  <dcterms:created xsi:type="dcterms:W3CDTF">2022-03-22T17:16:00Z</dcterms:created>
  <dcterms:modified xsi:type="dcterms:W3CDTF">2022-03-22T17:16:00Z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